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2EDE9B5" w14:textId="28994DEE" w:rsidR="00F60E14" w:rsidRPr="00E356CD" w:rsidRDefault="00F60E14" w:rsidP="00F60E14">
      <w:pPr>
        <w:rPr>
          <w:rFonts w:cs="Times New Roman"/>
        </w:rPr>
      </w:pPr>
      <w:r w:rsidRPr="00E356CD">
        <w:rPr>
          <w:rFonts w:cs="Times New Roman"/>
          <w:b/>
        </w:rPr>
        <w:t>TO:</w:t>
      </w:r>
      <w:r w:rsidRPr="00E356CD">
        <w:rPr>
          <w:rFonts w:cs="Times New Roman"/>
        </w:rPr>
        <w:tab/>
      </w:r>
      <w:r w:rsidRPr="00E356CD">
        <w:rPr>
          <w:rFonts w:cs="Times New Roman"/>
        </w:rPr>
        <w:tab/>
      </w:r>
      <w:r w:rsidR="0068573E" w:rsidRPr="00E356CD">
        <w:rPr>
          <w:rFonts w:cs="Times New Roman"/>
        </w:rPr>
        <w:t>Kevin Bartz</w:t>
      </w:r>
      <w:r w:rsidRPr="00E356CD">
        <w:rPr>
          <w:rFonts w:cs="Times New Roman"/>
        </w:rPr>
        <w:t>, Attorney</w:t>
      </w:r>
    </w:p>
    <w:p w14:paraId="5C2BB478" w14:textId="77777777" w:rsidR="00F60E14" w:rsidRPr="00E356CD" w:rsidRDefault="00F60E14" w:rsidP="00F60E14">
      <w:pPr>
        <w:ind w:left="1440"/>
        <w:rPr>
          <w:rFonts w:cs="Times New Roman"/>
        </w:rPr>
      </w:pPr>
      <w:r w:rsidRPr="00E356CD">
        <w:rPr>
          <w:rFonts w:cs="Times New Roman"/>
        </w:rPr>
        <w:t>Legal Division</w:t>
      </w:r>
    </w:p>
    <w:p w14:paraId="13B75921" w14:textId="77777777" w:rsidR="00F60E14" w:rsidRPr="00E356CD" w:rsidRDefault="00F60E14" w:rsidP="00F60E14">
      <w:pPr>
        <w:rPr>
          <w:b/>
        </w:rPr>
      </w:pPr>
    </w:p>
    <w:p w14:paraId="7BE3124A" w14:textId="77777777" w:rsidR="00F60E14" w:rsidRPr="00E356CD" w:rsidRDefault="00F60E14" w:rsidP="00F60E14">
      <w:r w:rsidRPr="00E356CD">
        <w:rPr>
          <w:b/>
        </w:rPr>
        <w:t>FROM:</w:t>
      </w:r>
      <w:r w:rsidRPr="00E356CD">
        <w:tab/>
        <w:t>Heidi Graham, Lead Engineering Specialist</w:t>
      </w:r>
    </w:p>
    <w:p w14:paraId="51418FC7" w14:textId="77777777" w:rsidR="00F60E14" w:rsidRPr="00E356CD" w:rsidRDefault="00F60E14" w:rsidP="00F60E14">
      <w:pPr>
        <w:ind w:left="1440"/>
        <w:rPr>
          <w:rFonts w:cs="Times New Roman"/>
        </w:rPr>
      </w:pPr>
      <w:r w:rsidRPr="00E356CD">
        <w:rPr>
          <w:rFonts w:cs="Times New Roman"/>
        </w:rPr>
        <w:t>Infrastructure Division</w:t>
      </w:r>
    </w:p>
    <w:p w14:paraId="5B359889" w14:textId="77777777" w:rsidR="00F60E14" w:rsidRPr="00E356CD" w:rsidRDefault="00F60E14" w:rsidP="00F60E14">
      <w:pPr>
        <w:ind w:left="1440"/>
        <w:rPr>
          <w:rFonts w:cs="Times New Roman"/>
        </w:rPr>
      </w:pPr>
    </w:p>
    <w:p w14:paraId="3229B868" w14:textId="2766B9B2" w:rsidR="00F60E14" w:rsidRPr="00E356CD" w:rsidRDefault="00F60E14" w:rsidP="00F60E14">
      <w:pPr>
        <w:tabs>
          <w:tab w:val="right" w:pos="9360"/>
        </w:tabs>
        <w:rPr>
          <w:rFonts w:cs="Times New Roman"/>
          <w:b/>
        </w:rPr>
      </w:pPr>
      <w:r w:rsidRPr="00E356CD">
        <w:rPr>
          <w:rFonts w:cs="Times New Roman"/>
          <w:b/>
        </w:rPr>
        <w:t>DATE:</w:t>
      </w:r>
      <w:r w:rsidRPr="00E356CD">
        <w:rPr>
          <w:rFonts w:cs="Times New Roman"/>
        </w:rPr>
        <w:t xml:space="preserve">  </w:t>
      </w:r>
      <w:r w:rsidRPr="00E356CD">
        <w:rPr>
          <w:rFonts w:cs="Times New Roman"/>
        </w:rPr>
        <w:tab/>
      </w:r>
      <w:r w:rsidR="00CE48B2">
        <w:rPr>
          <w:rFonts w:cs="Times New Roman"/>
        </w:rPr>
        <w:t>April 26</w:t>
      </w:r>
      <w:r w:rsidR="00EA3596" w:rsidRPr="00E356CD">
        <w:rPr>
          <w:rFonts w:cs="Times New Roman"/>
        </w:rPr>
        <w:t>, 2021</w:t>
      </w:r>
    </w:p>
    <w:p w14:paraId="05943232" w14:textId="77777777" w:rsidR="00F60E14" w:rsidRPr="00E356CD" w:rsidRDefault="00F60E14" w:rsidP="00F60E14">
      <w:pPr>
        <w:ind w:left="1440" w:hanging="1440"/>
        <w:rPr>
          <w:rFonts w:cs="Times New Roman"/>
        </w:rPr>
      </w:pPr>
    </w:p>
    <w:p w14:paraId="2156556C" w14:textId="2B0F1FFC" w:rsidR="00F60E14" w:rsidRPr="00E356CD" w:rsidRDefault="00F60E14" w:rsidP="00F60E14">
      <w:pPr>
        <w:ind w:left="1440" w:hanging="1440"/>
      </w:pPr>
      <w:r w:rsidRPr="00E356CD">
        <w:rPr>
          <w:rFonts w:cs="Times New Roman"/>
          <w:b/>
        </w:rPr>
        <w:t>SUBJECT:</w:t>
      </w:r>
      <w:r w:rsidRPr="00E356CD">
        <w:rPr>
          <w:rFonts w:cs="Times New Roman"/>
          <w:b/>
        </w:rPr>
        <w:tab/>
        <w:t>Docket No. 50424</w:t>
      </w:r>
      <w:r w:rsidRPr="00E356CD">
        <w:rPr>
          <w:rFonts w:cs="Times New Roman"/>
          <w:bCs/>
        </w:rPr>
        <w:t xml:space="preserve"> </w:t>
      </w:r>
      <w:r w:rsidRPr="00E356CD">
        <w:rPr>
          <w:rFonts w:cs="Times New Roman"/>
          <w:b/>
        </w:rPr>
        <w:t xml:space="preserve">– </w:t>
      </w:r>
      <w:r w:rsidRPr="00E356CD">
        <w:t xml:space="preserve">Application of Monarch Utilities </w:t>
      </w:r>
      <w:r w:rsidR="00673935">
        <w:t>I</w:t>
      </w:r>
      <w:r w:rsidRPr="00E356CD">
        <w:t>, L.P. and Goins Utility Service LLC for Sale, Transfer, or Merger of Facilities and Uncertificated Area in Polk County</w:t>
      </w:r>
    </w:p>
    <w:p w14:paraId="0817DEFD" w14:textId="77777777" w:rsidR="00F60E14" w:rsidRPr="00E356CD" w:rsidRDefault="00F60E14" w:rsidP="00F60E14">
      <w:pPr>
        <w:ind w:left="1440" w:hanging="1440"/>
      </w:pPr>
    </w:p>
    <w:p w14:paraId="16D23FB8" w14:textId="77777777" w:rsidR="00F60E14" w:rsidRPr="00E356CD" w:rsidRDefault="00F60E14" w:rsidP="00F60E14">
      <w:pPr>
        <w:pStyle w:val="ListParagraph"/>
        <w:numPr>
          <w:ilvl w:val="0"/>
          <w:numId w:val="44"/>
        </w:numPr>
        <w:rPr>
          <w:u w:val="single"/>
        </w:rPr>
      </w:pPr>
      <w:r w:rsidRPr="00E356CD">
        <w:rPr>
          <w:b/>
          <w:bCs/>
          <w:u w:val="single"/>
        </w:rPr>
        <w:t xml:space="preserve">Application </w:t>
      </w:r>
    </w:p>
    <w:p w14:paraId="1AE324FA" w14:textId="14BAFF40" w:rsidR="00F60E14" w:rsidRPr="00E356CD" w:rsidRDefault="00F60E14" w:rsidP="00F60E14">
      <w:pPr>
        <w:rPr>
          <w:rFonts w:cs="Times New Roman"/>
          <w:bCs/>
        </w:rPr>
      </w:pPr>
      <w:r w:rsidRPr="00E356CD">
        <w:t xml:space="preserve">Monarch Utilities </w:t>
      </w:r>
      <w:r w:rsidR="00673935">
        <w:t>I</w:t>
      </w:r>
      <w:r w:rsidRPr="00E356CD">
        <w:t xml:space="preserve">, L.P. </w:t>
      </w:r>
      <w:r w:rsidRPr="00E356CD">
        <w:rPr>
          <w:rFonts w:cs="Times New Roman"/>
          <w:bCs/>
        </w:rPr>
        <w:t xml:space="preserve">(Monarch) holds water Certificate of Convenience and Necessity (CCN) No. 12983 and sewer CCN No. 20899.  Monarch seeks approval to acquire facilities and to add to its CCNs all of </w:t>
      </w:r>
      <w:r w:rsidRPr="00E356CD">
        <w:t xml:space="preserve">the uncertificated </w:t>
      </w:r>
      <w:r w:rsidRPr="00E356CD">
        <w:rPr>
          <w:rFonts w:cs="Times New Roman"/>
          <w:bCs/>
        </w:rPr>
        <w:t xml:space="preserve">water </w:t>
      </w:r>
      <w:r w:rsidRPr="00E356CD">
        <w:rPr>
          <w:rFonts w:cs="Times New Roman"/>
        </w:rPr>
        <w:t xml:space="preserve">and sewer service areas of </w:t>
      </w:r>
      <w:r w:rsidRPr="00E356CD">
        <w:t>Goins Utility Service LLC</w:t>
      </w:r>
      <w:r w:rsidRPr="00E356CD">
        <w:rPr>
          <w:rFonts w:cs="Times New Roman"/>
          <w:i/>
        </w:rPr>
        <w:t xml:space="preserve"> </w:t>
      </w:r>
      <w:r w:rsidRPr="00E356CD">
        <w:rPr>
          <w:rFonts w:cs="Times New Roman"/>
          <w:bCs/>
        </w:rPr>
        <w:t xml:space="preserve">(Goins).  In addition, </w:t>
      </w:r>
      <w:r w:rsidRPr="00E356CD">
        <w:t xml:space="preserve">Monarch requests to amend CCN No. 12983 to add a portion of the water service area of </w:t>
      </w:r>
      <w:r w:rsidRPr="00E356CD">
        <w:rPr>
          <w:rFonts w:cs="Times New Roman"/>
          <w:bCs/>
        </w:rPr>
        <w:t xml:space="preserve">Lake Livingston </w:t>
      </w:r>
      <w:r w:rsidRPr="00E356CD">
        <w:t>Water Supply &amp; Sewer Service Corporation (Lake Livingston), CCN No. 10147.  Lake Livingston has agreed to decertify that portion of its water service area.</w:t>
      </w:r>
    </w:p>
    <w:p w14:paraId="170E47F7" w14:textId="77777777" w:rsidR="00F60E14" w:rsidRPr="00E356CD" w:rsidRDefault="00F60E14" w:rsidP="00F60E14"/>
    <w:p w14:paraId="19EB8A9A" w14:textId="77777777" w:rsidR="00F60E14" w:rsidRPr="00E356CD" w:rsidRDefault="00F60E14" w:rsidP="00F60E14">
      <w:pPr>
        <w:rPr>
          <w:rFonts w:cs="Times New Roman"/>
          <w:bCs/>
        </w:rPr>
      </w:pPr>
      <w:r w:rsidRPr="00E356CD">
        <w:t>The Goins water service area includes approximately 17 acres and 36 current customers.  The Goins sewer service area includes approximately 24 acres and 36 current customers.  The water service area of Lake Livingston to be decertified and simultaneously certified to Monarch is approximately 5 acres and has no customers.</w:t>
      </w:r>
    </w:p>
    <w:p w14:paraId="7C30EE70" w14:textId="77777777" w:rsidR="00F60E14" w:rsidRPr="00E356CD" w:rsidRDefault="00F60E14" w:rsidP="00F60E14">
      <w:pPr>
        <w:rPr>
          <w:rFonts w:cs="Times New Roman"/>
        </w:rPr>
      </w:pPr>
    </w:p>
    <w:p w14:paraId="7C383D3D" w14:textId="77777777" w:rsidR="00F60E14" w:rsidRPr="00E356CD" w:rsidRDefault="00F60E14" w:rsidP="00F60E14">
      <w:pPr>
        <w:pStyle w:val="ListParagraph"/>
        <w:numPr>
          <w:ilvl w:val="0"/>
          <w:numId w:val="44"/>
        </w:numPr>
        <w:rPr>
          <w:rFonts w:cs="Times New Roman"/>
          <w:b/>
          <w:u w:val="single"/>
        </w:rPr>
      </w:pPr>
      <w:r w:rsidRPr="00E356CD">
        <w:rPr>
          <w:rFonts w:cs="Times New Roman"/>
          <w:b/>
          <w:u w:val="single"/>
        </w:rPr>
        <w:t>Notice</w:t>
      </w:r>
    </w:p>
    <w:p w14:paraId="1492456C" w14:textId="4B3FBD11" w:rsidR="00F60E14" w:rsidRPr="00E356CD"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E356CD">
        <w:rPr>
          <w:rFonts w:cs="Times New Roman"/>
        </w:rPr>
        <w:t>Monarch provided notice consistent with 16 Texas Administrative Code (TAC) §</w:t>
      </w:r>
      <w:r w:rsidR="00C63208">
        <w:rPr>
          <w:rFonts w:cs="Times New Roman"/>
        </w:rPr>
        <w:t> </w:t>
      </w:r>
      <w:r w:rsidRPr="00E356CD">
        <w:rPr>
          <w:rFonts w:cs="Times New Roman"/>
        </w:rPr>
        <w:t>24.239(c).  The deadline for intervention stated in the notice was September 1, 2020</w:t>
      </w:r>
      <w:r w:rsidR="00C63208">
        <w:rPr>
          <w:rFonts w:cs="Times New Roman"/>
        </w:rPr>
        <w:t>. No</w:t>
      </w:r>
      <w:r w:rsidRPr="00E356CD">
        <w:rPr>
          <w:rFonts w:cs="Times New Roman"/>
        </w:rPr>
        <w:t xml:space="preserve"> protests, intervention, or opt-out requests were received.</w:t>
      </w:r>
    </w:p>
    <w:p w14:paraId="4A7E083D" w14:textId="77777777" w:rsidR="00F60E14" w:rsidRPr="00E356CD" w:rsidRDefault="00F60E14" w:rsidP="00F60E14">
      <w:pPr>
        <w:rPr>
          <w:rFonts w:cs="Times New Roman"/>
        </w:rPr>
      </w:pPr>
    </w:p>
    <w:p w14:paraId="600EFB5A" w14:textId="77777777" w:rsidR="00F60E14" w:rsidRPr="00E356CD" w:rsidRDefault="00F60E14" w:rsidP="00F60E14">
      <w:pPr>
        <w:pStyle w:val="ListParagraph"/>
        <w:numPr>
          <w:ilvl w:val="0"/>
          <w:numId w:val="44"/>
        </w:numPr>
        <w:rPr>
          <w:rFonts w:cs="Times New Roman"/>
          <w:b/>
          <w:u w:val="single"/>
        </w:rPr>
      </w:pPr>
      <w:r w:rsidRPr="00E356CD">
        <w:rPr>
          <w:rFonts w:cs="Times New Roman"/>
          <w:b/>
          <w:u w:val="single"/>
        </w:rPr>
        <w:t>Factors Considered</w:t>
      </w:r>
    </w:p>
    <w:p w14:paraId="39CD9AD1" w14:textId="09A8ED51" w:rsidR="00F60E14" w:rsidRPr="00E356CD" w:rsidRDefault="00F60E14" w:rsidP="00F60E14">
      <w:pPr>
        <w:pStyle w:val="BodyText"/>
        <w:spacing w:after="0"/>
        <w:jc w:val="both"/>
        <w:rPr>
          <w:rFonts w:cs="Times New Roman"/>
          <w:bCs/>
          <w:iCs/>
        </w:rPr>
      </w:pPr>
      <w:bookmarkStart w:id="0" w:name="_Hlk22797463"/>
      <w:r w:rsidRPr="00E356CD">
        <w:rPr>
          <w:rFonts w:cs="Times New Roman"/>
        </w:rPr>
        <w:t>Texas Water Code (TWC) Chapter 13</w:t>
      </w:r>
      <w:r w:rsidR="00C63208">
        <w:rPr>
          <w:rFonts w:cs="Times New Roman"/>
        </w:rPr>
        <w:t>,</w:t>
      </w:r>
      <w:r w:rsidRPr="00E356CD">
        <w:rPr>
          <w:rFonts w:cs="Times New Roman"/>
        </w:rPr>
        <w:t xml:space="preserve"> and 16 TAC Chapter 24</w:t>
      </w:r>
      <w:r w:rsidR="00C63208">
        <w:rPr>
          <w:rFonts w:cs="Times New Roman"/>
        </w:rPr>
        <w:t>,</w:t>
      </w:r>
      <w:r w:rsidRPr="00E356CD">
        <w:rPr>
          <w:rFonts w:cs="Times New Roman"/>
        </w:rPr>
        <w:t xml:space="preserve"> require the Public Utility Commission (PUCT) to consider certain factors when granting or amending a water or sewer CCN</w:t>
      </w:r>
      <w:r w:rsidR="00C63208">
        <w:rPr>
          <w:rFonts w:cs="Times New Roman"/>
        </w:rPr>
        <w:t>.</w:t>
      </w:r>
      <w:r w:rsidRPr="00E356CD">
        <w:rPr>
          <w:rFonts w:cs="Times New Roman"/>
        </w:rPr>
        <w:t xml:space="preserve"> </w:t>
      </w:r>
      <w:r w:rsidR="00C63208">
        <w:rPr>
          <w:rFonts w:cs="Times New Roman"/>
        </w:rPr>
        <w:t>Those factors</w:t>
      </w:r>
      <w:r w:rsidR="00C63208" w:rsidRPr="00E356CD">
        <w:rPr>
          <w:rFonts w:cs="Times New Roman"/>
        </w:rPr>
        <w:t xml:space="preserve"> </w:t>
      </w:r>
      <w:r w:rsidRPr="00E356CD">
        <w:rPr>
          <w:rFonts w:cs="Times New Roman"/>
        </w:rPr>
        <w:t>are addressed below as subsections</w:t>
      </w:r>
      <w:r w:rsidR="00C63208">
        <w:rPr>
          <w:rFonts w:cs="Times New Roman"/>
        </w:rPr>
        <w:t>:</w:t>
      </w:r>
      <w:bookmarkEnd w:id="0"/>
      <w:r w:rsidRPr="00E356CD">
        <w:rPr>
          <w:rFonts w:cs="Times New Roman"/>
        </w:rPr>
        <w:cr/>
      </w:r>
    </w:p>
    <w:p w14:paraId="1FB905B7" w14:textId="1F1B704B" w:rsidR="00F60E14" w:rsidRPr="00E356CD" w:rsidRDefault="00F60E14" w:rsidP="00F60E14">
      <w:pPr>
        <w:pStyle w:val="ListParagraph"/>
        <w:numPr>
          <w:ilvl w:val="1"/>
          <w:numId w:val="44"/>
        </w:numPr>
        <w:spacing w:after="0"/>
        <w:ind w:left="360"/>
        <w:contextualSpacing w:val="0"/>
        <w:jc w:val="both"/>
        <w:rPr>
          <w:rFonts w:cs="Times New Roman"/>
          <w:b/>
          <w:i/>
          <w:iCs/>
        </w:rPr>
      </w:pPr>
      <w:r w:rsidRPr="00E356CD">
        <w:rPr>
          <w:rFonts w:cs="Times New Roman"/>
          <w:b/>
          <w:i/>
          <w:iCs/>
        </w:rPr>
        <w:t>Consideration of the adequacy of service currently provided to the requested area (TWC §</w:t>
      </w:r>
      <w:r w:rsidR="00C63208">
        <w:rPr>
          <w:rFonts w:cs="Times New Roman"/>
          <w:b/>
          <w:i/>
          <w:iCs/>
        </w:rPr>
        <w:t> </w:t>
      </w:r>
      <w:r w:rsidRPr="00E356CD">
        <w:rPr>
          <w:rFonts w:cs="Times New Roman"/>
          <w:b/>
          <w:i/>
          <w:iCs/>
        </w:rPr>
        <w:t>13.246(c)(1) and 16 TAC § 24.227(e)(1))</w:t>
      </w:r>
    </w:p>
    <w:p w14:paraId="181D0364" w14:textId="272C6740" w:rsidR="00F60E14" w:rsidRPr="00E356CD"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shd w:val="clear" w:color="auto" w:fill="FFFFCC"/>
        </w:rPr>
      </w:pPr>
      <w:r w:rsidRPr="00E356CD">
        <w:rPr>
          <w:rFonts w:cs="Times New Roman"/>
          <w:noProof/>
        </w:rPr>
        <w:t xml:space="preserve">The water service currently provided to the requested area by Goins is adequate.  Goins </w:t>
      </w:r>
      <w:r w:rsidRPr="00E356CD">
        <w:rPr>
          <w:rFonts w:cs="Times New Roman"/>
        </w:rPr>
        <w:t xml:space="preserve">has a public water system (PWS) registered with the Texas Commission on Environmental Quality (TCEQ) under Beacon Bay Marina and RV Park, PWS No. 1870016.  Monarch submitted a TCEQ investigation report with the application that indicated Goins has an active violation </w:t>
      </w:r>
      <w:r w:rsidRPr="00E356CD">
        <w:rPr>
          <w:rFonts w:cs="Times New Roman"/>
        </w:rPr>
        <w:lastRenderedPageBreak/>
        <w:t>with the TCEQ for record keeping for its well.</w:t>
      </w:r>
      <w:r w:rsidRPr="00E356CD">
        <w:rPr>
          <w:rStyle w:val="FootnoteReference"/>
          <w:rFonts w:cs="Times New Roman"/>
        </w:rPr>
        <w:footnoteReference w:id="1"/>
      </w:r>
    </w:p>
    <w:p w14:paraId="2C17D8DD" w14:textId="77777777" w:rsidR="00F60E14" w:rsidRPr="00E356CD"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shd w:val="clear" w:color="auto" w:fill="FFFFCC"/>
        </w:rPr>
      </w:pPr>
    </w:p>
    <w:p w14:paraId="29E75F58" w14:textId="5A5639E6" w:rsidR="00F60E14" w:rsidRPr="00C63208" w:rsidRDefault="00F60E14" w:rsidP="00C63208">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r w:rsidRPr="00E356CD">
        <w:rPr>
          <w:rFonts w:cs="Times New Roman"/>
          <w:noProof/>
        </w:rPr>
        <w:t xml:space="preserve">The sewer service currently provided to the requested area by Goins is adequate.  </w:t>
      </w:r>
      <w:r w:rsidRPr="00E356CD">
        <w:rPr>
          <w:rFonts w:cs="Times New Roman"/>
        </w:rPr>
        <w:t xml:space="preserve">Goins has a sewer system registered with the TCEQ under Beacon Bay Marina Wastewater Treatment Facility, Wastewater Discharge Permit No. </w:t>
      </w:r>
      <w:r w:rsidRPr="00E356CD">
        <w:rPr>
          <w:rFonts w:cs="Times New Roman"/>
          <w:shd w:val="clear" w:color="auto" w:fill="FFFFFF"/>
        </w:rPr>
        <w:t>WQ0013637001</w:t>
      </w:r>
      <w:r w:rsidRPr="00E356CD">
        <w:rPr>
          <w:rFonts w:cs="Times New Roman"/>
        </w:rPr>
        <w:t>.</w:t>
      </w:r>
      <w:r w:rsidRPr="00E356CD">
        <w:rPr>
          <w:rStyle w:val="FootnoteReference"/>
          <w:rFonts w:cs="Times New Roman"/>
        </w:rPr>
        <w:footnoteReference w:id="2"/>
      </w:r>
      <w:r w:rsidRPr="00E356CD">
        <w:rPr>
          <w:rFonts w:cs="Times New Roman"/>
        </w:rPr>
        <w:t xml:space="preserve">  According to the TCEQ investigation report submitted with the application, </w:t>
      </w:r>
      <w:r w:rsidR="00C63208">
        <w:rPr>
          <w:rFonts w:cs="Times New Roman"/>
        </w:rPr>
        <w:t>Goins’s</w:t>
      </w:r>
      <w:r w:rsidRPr="00E356CD">
        <w:rPr>
          <w:rFonts w:cs="Times New Roman"/>
        </w:rPr>
        <w:t xml:space="preserve"> previous violations with the TCEQ have been resolved.  The TCEQ investigator commented in the report that </w:t>
      </w:r>
      <w:r w:rsidRPr="00E356CD">
        <w:t>the wastewater treatment plant appeared to be well-maintained.</w:t>
      </w:r>
      <w:r w:rsidRPr="00E356CD">
        <w:rPr>
          <w:rStyle w:val="FootnoteReference"/>
        </w:rPr>
        <w:footnoteReference w:id="3"/>
      </w:r>
    </w:p>
    <w:p w14:paraId="2C416A44" w14:textId="77777777" w:rsidR="00F60E14" w:rsidRPr="00E356CD"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p>
    <w:p w14:paraId="64968E7D" w14:textId="77777777" w:rsidR="00F60E14" w:rsidRPr="00E356CD"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r w:rsidRPr="00E356CD">
        <w:rPr>
          <w:rFonts w:cs="Times New Roman"/>
        </w:rPr>
        <w:t>The PUCT’s Customer Protection Division has not received any complaints from Goins’ water or sewer customers.</w:t>
      </w:r>
    </w:p>
    <w:p w14:paraId="7EE53ECD" w14:textId="77777777" w:rsidR="00F60E14" w:rsidRPr="00E356CD"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3BA7462B" w14:textId="77777777" w:rsidR="00F60E14" w:rsidRPr="00E356CD" w:rsidRDefault="00F60E14" w:rsidP="00F60E14">
      <w:pPr>
        <w:pStyle w:val="ListParagraph"/>
        <w:numPr>
          <w:ilvl w:val="1"/>
          <w:numId w:val="44"/>
        </w:numPr>
        <w:spacing w:after="0"/>
        <w:ind w:left="360"/>
        <w:contextualSpacing w:val="0"/>
        <w:jc w:val="both"/>
        <w:rPr>
          <w:rFonts w:cs="Times New Roman"/>
          <w:b/>
          <w:i/>
          <w:iCs/>
        </w:rPr>
      </w:pPr>
      <w:r w:rsidRPr="00E356CD">
        <w:rPr>
          <w:rFonts w:cs="Times New Roman"/>
          <w:b/>
          <w:i/>
          <w:iCs/>
        </w:rPr>
        <w:t xml:space="preserve">Consideration of the need for additional service in the requested area (TWC § 13.246(c)(2) and 16 TAC § 24.227(e)(2)) </w:t>
      </w:r>
    </w:p>
    <w:p w14:paraId="1B3BB7AA" w14:textId="77777777" w:rsidR="00F60E14" w:rsidRPr="00E356CD" w:rsidRDefault="00F60E14" w:rsidP="00F60E14">
      <w:pPr>
        <w:pStyle w:val="NoSpacing"/>
        <w:ind w:left="360"/>
        <w:jc w:val="both"/>
        <w:rPr>
          <w:rFonts w:cs="Times New Roman"/>
          <w:shd w:val="clear" w:color="auto" w:fill="FFFFFF"/>
        </w:rPr>
      </w:pPr>
      <w:r w:rsidRPr="00E356CD">
        <w:rPr>
          <w:rFonts w:cs="Times New Roman"/>
          <w:shd w:val="clear" w:color="auto" w:fill="FFFFFF"/>
        </w:rPr>
        <w:t xml:space="preserve">Although Goins does not have a CCN, there are 36 customers currently receiving </w:t>
      </w:r>
      <w:r w:rsidRPr="00E356CD">
        <w:rPr>
          <w:rFonts w:cs="Times New Roman"/>
        </w:rPr>
        <w:t>water service and sewer</w:t>
      </w:r>
      <w:r w:rsidRPr="00E356CD">
        <w:rPr>
          <w:rFonts w:cs="Times New Roman"/>
          <w:shd w:val="clear" w:color="auto" w:fill="FFFFFF"/>
        </w:rPr>
        <w:t xml:space="preserve"> service from </w:t>
      </w:r>
      <w:r w:rsidRPr="00E356CD">
        <w:t>Goins’ water and sewer s</w:t>
      </w:r>
      <w:r w:rsidRPr="00E356CD">
        <w:rPr>
          <w:rFonts w:cs="Times New Roman"/>
          <w:shd w:val="clear" w:color="auto" w:fill="FFFFFF"/>
        </w:rPr>
        <w:t>ystems.</w:t>
      </w:r>
      <w:r w:rsidRPr="00E356CD">
        <w:rPr>
          <w:rFonts w:cs="Times New Roman"/>
        </w:rPr>
        <w:t xml:space="preserve">  Therefore, there is a need for continuation of those services.  There is no information in the docket indicating a need for additional service in the Goins water and sewer service areas.</w:t>
      </w:r>
    </w:p>
    <w:p w14:paraId="5D01B8A4" w14:textId="77777777" w:rsidR="00F60E14" w:rsidRPr="00E356CD" w:rsidRDefault="00F60E14" w:rsidP="00F60E14">
      <w:pPr>
        <w:pStyle w:val="NoSpacing"/>
        <w:tabs>
          <w:tab w:val="left" w:pos="720"/>
        </w:tabs>
        <w:jc w:val="both"/>
        <w:rPr>
          <w:rFonts w:cs="Times New Roman"/>
        </w:rPr>
      </w:pPr>
    </w:p>
    <w:p w14:paraId="26155B26" w14:textId="77777777" w:rsidR="00F60E14" w:rsidRPr="00E356CD" w:rsidRDefault="00F60E14" w:rsidP="00F60E14">
      <w:pPr>
        <w:pStyle w:val="ListParagraph"/>
        <w:numPr>
          <w:ilvl w:val="1"/>
          <w:numId w:val="44"/>
        </w:numPr>
        <w:spacing w:after="0"/>
        <w:ind w:left="360"/>
        <w:contextualSpacing w:val="0"/>
        <w:jc w:val="both"/>
        <w:rPr>
          <w:rFonts w:cs="Times New Roman"/>
          <w:b/>
          <w:i/>
          <w:iCs/>
        </w:rPr>
      </w:pPr>
      <w:r w:rsidRPr="00E356CD">
        <w:rPr>
          <w:rFonts w:cs="Times New Roman"/>
          <w:b/>
          <w:i/>
          <w:iCs/>
        </w:rPr>
        <w:t xml:space="preserve">Consideration of the effect of granting an amendment on the recipient of the certificate or amendment, on the landowners in the area, and on any other retail public utility of the same kind already serving the proximate area (TWC § 13.246(c)(3) and 16 TAC § 24.227(e)(3)) </w:t>
      </w:r>
    </w:p>
    <w:p w14:paraId="1C56860A" w14:textId="77777777" w:rsidR="00F60E14" w:rsidRPr="00E356CD" w:rsidRDefault="00F60E14" w:rsidP="00CC3889">
      <w:pPr>
        <w:pStyle w:val="CommentText"/>
        <w:tabs>
          <w:tab w:val="clear" w:pos="720"/>
        </w:tabs>
        <w:spacing w:before="0" w:after="0"/>
        <w:ind w:left="360"/>
        <w:jc w:val="both"/>
        <w:rPr>
          <w:rFonts w:ascii="Times New Roman" w:hAnsi="Times New Roman" w:cs="Times New Roman"/>
          <w:sz w:val="24"/>
          <w:szCs w:val="24"/>
        </w:rPr>
      </w:pPr>
      <w:r w:rsidRPr="00E356CD">
        <w:rPr>
          <w:rFonts w:ascii="Times New Roman" w:hAnsi="Times New Roman" w:cs="Times New Roman"/>
          <w:sz w:val="24"/>
          <w:szCs w:val="24"/>
        </w:rPr>
        <w:t>The number of customers in the water and sewer service areas of Goins is small relative to the total number of customers served by Monarch, resulting in a negligible effect on Monarch.  The effect of application approval on landowners and other retail public utilities in the area would be the transfer of service areas from Goins and Lake Livingston to Monarch and Monarch’s planned construction projects, which I discuss below in subsection 3.10.</w:t>
      </w:r>
    </w:p>
    <w:p w14:paraId="3E61012E" w14:textId="77777777" w:rsidR="00F60E14" w:rsidRPr="00E356CD" w:rsidRDefault="00F60E14" w:rsidP="00F60E14">
      <w:pPr>
        <w:pStyle w:val="NoSpacing"/>
        <w:contextualSpacing/>
        <w:jc w:val="both"/>
        <w:rPr>
          <w:rFonts w:cs="Times New Roman"/>
        </w:rPr>
      </w:pPr>
    </w:p>
    <w:p w14:paraId="2A77097E" w14:textId="77777777" w:rsidR="00F60E14" w:rsidRPr="00E356CD" w:rsidRDefault="00F60E14" w:rsidP="00F60E14">
      <w:pPr>
        <w:pStyle w:val="ListParagraph"/>
        <w:numPr>
          <w:ilvl w:val="1"/>
          <w:numId w:val="44"/>
        </w:numPr>
        <w:spacing w:after="0"/>
        <w:ind w:left="360"/>
        <w:contextualSpacing w:val="0"/>
        <w:jc w:val="both"/>
        <w:rPr>
          <w:rFonts w:cs="Times New Roman"/>
          <w:b/>
          <w:i/>
          <w:iCs/>
        </w:rPr>
      </w:pPr>
      <w:r w:rsidRPr="00E356CD">
        <w:rPr>
          <w:rFonts w:cs="Times New Roman"/>
          <w:b/>
          <w:i/>
          <w:iCs/>
        </w:rPr>
        <w:t xml:space="preserve">Consideration of the ability of the applicant to provide adequate service (TWC §§ 13.241(b), 13.246(c)(4), and 16 TAC § 24.227(e)(4)) </w:t>
      </w:r>
    </w:p>
    <w:p w14:paraId="1B9997EF" w14:textId="32118F47" w:rsidR="00F60E14" w:rsidRPr="00E356CD" w:rsidRDefault="00F60E14" w:rsidP="00CC388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bookmarkStart w:id="1" w:name="_Hlk51919452"/>
      <w:r w:rsidRPr="00E356CD">
        <w:rPr>
          <w:rFonts w:cs="Times New Roman"/>
          <w:noProof/>
        </w:rPr>
        <w:t xml:space="preserve">Monarch is generally capable of providing adequate service given the large number of customers that it has served for a number of years.  </w:t>
      </w:r>
      <w:bookmarkEnd w:id="1"/>
      <w:r w:rsidRPr="00E356CD">
        <w:rPr>
          <w:rFonts w:cs="Times New Roman"/>
          <w:noProof/>
        </w:rPr>
        <w:t>Monarch</w:t>
      </w:r>
      <w:r w:rsidRPr="00E356CD">
        <w:rPr>
          <w:rFonts w:cs="Times New Roman"/>
        </w:rPr>
        <w:t xml:space="preserve"> has a public water system registered with the TCEQ under Oak Terrace Estates, PWS No. 1870055 that is adjacent to the Goins water service area.  According to the TCEQ’s online records, Monarch has active violations from 2019 for this public water system for failure to maintain all equipment in good working condition and failure to provide the required well production capacity of 0.6 gallons per minute per connection.  The violation for maintaining all equipment in good working condition is related to a bulging 5,000-gallon pressure tank that failed.  Monarch requested approval from the TCEQ </w:t>
      </w:r>
      <w:r w:rsidR="009A7E6C">
        <w:rPr>
          <w:rFonts w:cs="Times New Roman"/>
        </w:rPr>
        <w:t>to</w:t>
      </w:r>
      <w:r w:rsidRPr="00E356CD">
        <w:rPr>
          <w:rFonts w:cs="Times New Roman"/>
        </w:rPr>
        <w:t xml:space="preserve"> replace</w:t>
      </w:r>
      <w:r w:rsidR="009A7E6C">
        <w:rPr>
          <w:rFonts w:cs="Times New Roman"/>
        </w:rPr>
        <w:t xml:space="preserve"> the</w:t>
      </w:r>
      <w:r w:rsidRPr="00E356CD">
        <w:rPr>
          <w:rFonts w:cs="Times New Roman"/>
        </w:rPr>
        <w:t xml:space="preserve"> pressure tank</w:t>
      </w:r>
      <w:r w:rsidR="00706788" w:rsidRPr="00E356CD">
        <w:rPr>
          <w:rFonts w:cs="Times New Roman"/>
        </w:rPr>
        <w:t xml:space="preserve"> on February 4, 2021</w:t>
      </w:r>
      <w:r w:rsidR="009A7E6C">
        <w:rPr>
          <w:rFonts w:cs="Times New Roman"/>
        </w:rPr>
        <w:t xml:space="preserve">. The new pressure tank </w:t>
      </w:r>
      <w:r w:rsidR="00106C02">
        <w:rPr>
          <w:rFonts w:cs="Times New Roman"/>
        </w:rPr>
        <w:t>has been installed</w:t>
      </w:r>
      <w:r w:rsidRPr="00E356CD">
        <w:rPr>
          <w:rFonts w:cs="Times New Roman"/>
        </w:rPr>
        <w:t>.</w:t>
      </w:r>
      <w:r w:rsidR="00931D6C" w:rsidRPr="00E356CD">
        <w:rPr>
          <w:rFonts w:cs="Times New Roman"/>
        </w:rPr>
        <w:t xml:space="preserve"> </w:t>
      </w:r>
      <w:r w:rsidR="00931D6C" w:rsidRPr="00E356CD">
        <w:t xml:space="preserve">Monarch </w:t>
      </w:r>
      <w:r w:rsidR="00706788" w:rsidRPr="00E356CD">
        <w:t xml:space="preserve">also </w:t>
      </w:r>
      <w:r w:rsidR="00931D6C" w:rsidRPr="00E356CD">
        <w:t xml:space="preserve">constructed a new well </w:t>
      </w:r>
      <w:r w:rsidR="00B7275D" w:rsidRPr="00E356CD">
        <w:t xml:space="preserve">at the Oak Terrace Estates water system </w:t>
      </w:r>
      <w:r w:rsidR="00931D6C" w:rsidRPr="00E356CD">
        <w:t>which was approved for use by the TCEQ in a letter dated June 16, 2020.</w:t>
      </w:r>
      <w:r w:rsidR="00F67A6F" w:rsidRPr="00E356CD">
        <w:t xml:space="preserve"> The new well enabl</w:t>
      </w:r>
      <w:r w:rsidR="00755CD3" w:rsidRPr="00E356CD">
        <w:t>e</w:t>
      </w:r>
      <w:r w:rsidR="001E4E5D" w:rsidRPr="00E356CD">
        <w:t>s</w:t>
      </w:r>
      <w:r w:rsidR="00F67A6F" w:rsidRPr="00E356CD">
        <w:t xml:space="preserve"> Monarch to </w:t>
      </w:r>
      <w:r w:rsidR="00F67A6F" w:rsidRPr="00E356CD">
        <w:rPr>
          <w:rFonts w:cs="Times New Roman"/>
        </w:rPr>
        <w:t>provide the required well production capacity of 0.6 gallons per minute per connection</w:t>
      </w:r>
      <w:r w:rsidR="00755CD3" w:rsidRPr="00E356CD">
        <w:rPr>
          <w:rFonts w:cs="Times New Roman"/>
        </w:rPr>
        <w:t>.</w:t>
      </w:r>
    </w:p>
    <w:p w14:paraId="5EF78BEB" w14:textId="77777777" w:rsidR="00446D7E" w:rsidRPr="00E356CD" w:rsidRDefault="00446D7E"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p>
    <w:p w14:paraId="6E666C7C" w14:textId="5469192C" w:rsidR="00F60E14" w:rsidRPr="00E356CD"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r w:rsidRPr="00E356CD">
        <w:rPr>
          <w:rFonts w:cs="Times New Roman"/>
        </w:rPr>
        <w:lastRenderedPageBreak/>
        <w:t xml:space="preserve">Monarch does not have a sewer CCN in the vicinity of the requested area.  In order to operate the Goins wastewater treatment plant after the CCN and facilities are transferred, Monarch would have to </w:t>
      </w:r>
      <w:bookmarkStart w:id="2" w:name="_Hlk51919488"/>
      <w:r w:rsidRPr="00E356CD">
        <w:rPr>
          <w:rFonts w:cs="Times New Roman"/>
        </w:rPr>
        <w:t xml:space="preserve">obtain approval for the </w:t>
      </w:r>
      <w:bookmarkEnd w:id="2"/>
      <w:r w:rsidRPr="00E356CD">
        <w:rPr>
          <w:rFonts w:cs="Times New Roman"/>
        </w:rPr>
        <w:t xml:space="preserve">transfer of the existing wastewater discharge permit from Goins by application to the TCEQ or apply to the TCEQ to obtain its own permit.  </w:t>
      </w:r>
      <w:r w:rsidRPr="00E356CD">
        <w:rPr>
          <w:rFonts w:cs="Times New Roman"/>
        </w:rPr>
        <w:br/>
        <w:t>Given that Monarch has held a number of wastewater discharge permits from the TCEQ, Monarch will likely be able to obtain such a permit to serve Goins’ sewer service area.</w:t>
      </w:r>
      <w:r w:rsidRPr="00E356CD" w:rsidDel="001A7E67">
        <w:rPr>
          <w:rFonts w:cs="Times New Roman"/>
        </w:rPr>
        <w:t xml:space="preserve"> </w:t>
      </w:r>
      <w:r w:rsidR="00CC6960" w:rsidRPr="00E356CD">
        <w:rPr>
          <w:rFonts w:cs="Times New Roman"/>
        </w:rPr>
        <w:t xml:space="preserve">In addition, </w:t>
      </w:r>
      <w:r w:rsidR="00CC6960" w:rsidRPr="00E356CD">
        <w:rPr>
          <w:rFonts w:eastAsia="Calibri"/>
        </w:rPr>
        <w:t>n</w:t>
      </w:r>
      <w:r w:rsidR="00A03154" w:rsidRPr="00E356CD">
        <w:rPr>
          <w:rFonts w:eastAsia="Calibri"/>
        </w:rPr>
        <w:t xml:space="preserve">otice of the proposed sale and transfer was provided to all neighboring utilities and entities including those mentioned by the Commission Staff, and no objections or comments were received.  </w:t>
      </w:r>
    </w:p>
    <w:p w14:paraId="6A5CC7E2" w14:textId="77777777" w:rsidR="00F60E14" w:rsidRPr="00E356CD" w:rsidRDefault="00F60E14" w:rsidP="00F60E14">
      <w:pPr>
        <w:rPr>
          <w:rFonts w:cs="Times New Roman"/>
        </w:rPr>
      </w:pPr>
    </w:p>
    <w:p w14:paraId="046D063E" w14:textId="77777777" w:rsidR="00F60E14" w:rsidRPr="00E356CD" w:rsidRDefault="00F60E14" w:rsidP="00F60E14">
      <w:pPr>
        <w:pStyle w:val="ListParagraph"/>
        <w:numPr>
          <w:ilvl w:val="1"/>
          <w:numId w:val="44"/>
        </w:numPr>
        <w:spacing w:after="0"/>
        <w:ind w:left="360"/>
        <w:contextualSpacing w:val="0"/>
        <w:jc w:val="both"/>
        <w:rPr>
          <w:bCs/>
          <w:iCs/>
        </w:rPr>
      </w:pPr>
      <w:r w:rsidRPr="00E356CD">
        <w:rPr>
          <w:rFonts w:cs="Times New Roman"/>
          <w:b/>
          <w:i/>
          <w:iCs/>
        </w:rPr>
        <w:t xml:space="preserve">The applicants’ demonstration to the Commission that regionalization or consolidation with another retail public utility is not economically feasible when construction of a physically separate water or sewer system is required to provide service to the requested area. (TWC § 13.241(d) and 16 </w:t>
      </w:r>
      <w:r w:rsidRPr="00E356CD">
        <w:rPr>
          <w:rFonts w:cs="Times New Roman"/>
          <w:b/>
          <w:i/>
        </w:rPr>
        <w:t>TAC § 24.227(b))</w:t>
      </w:r>
      <w:r w:rsidRPr="00E356CD">
        <w:rPr>
          <w:rFonts w:cs="Times New Roman"/>
          <w:b/>
          <w:i/>
          <w:iCs/>
        </w:rPr>
        <w:t xml:space="preserve"> </w:t>
      </w:r>
      <w:bookmarkStart w:id="3" w:name="_Hlk51919526"/>
    </w:p>
    <w:p w14:paraId="65952388" w14:textId="38F80F16" w:rsidR="00F60E14" w:rsidRPr="00E356CD" w:rsidRDefault="00F60E14" w:rsidP="00F60E14">
      <w:pPr>
        <w:pStyle w:val="ListParagraph"/>
        <w:spacing w:after="0"/>
        <w:ind w:left="360" w:firstLine="0"/>
        <w:contextualSpacing w:val="0"/>
        <w:jc w:val="both"/>
        <w:rPr>
          <w:bCs/>
          <w:iCs/>
        </w:rPr>
      </w:pPr>
      <w:r w:rsidRPr="00E356CD">
        <w:rPr>
          <w:bCs/>
          <w:iCs/>
        </w:rPr>
        <w:t xml:space="preserve">Monarch plans to replace major components of Goins’ existing water and wastewater systems, as discussed below in subsection 3.10. As a result, regionalization or consolidation </w:t>
      </w:r>
      <w:r w:rsidR="00870417" w:rsidRPr="00E356CD">
        <w:rPr>
          <w:bCs/>
          <w:iCs/>
        </w:rPr>
        <w:t>was</w:t>
      </w:r>
      <w:r w:rsidRPr="00E356CD">
        <w:rPr>
          <w:bCs/>
          <w:iCs/>
        </w:rPr>
        <w:t xml:space="preserve"> considered as </w:t>
      </w:r>
      <w:r w:rsidR="00870417" w:rsidRPr="00E356CD">
        <w:rPr>
          <w:bCs/>
          <w:iCs/>
        </w:rPr>
        <w:t xml:space="preserve">an </w:t>
      </w:r>
      <w:r w:rsidRPr="00E356CD">
        <w:rPr>
          <w:bCs/>
          <w:iCs/>
        </w:rPr>
        <w:t>alternative.</w:t>
      </w:r>
      <w:r w:rsidRPr="00E356CD">
        <w:rPr>
          <w:rFonts w:cs="Times New Roman"/>
        </w:rPr>
        <w:t xml:space="preserve">  Lake Livingston’s service area is adjacent to the Goins water service area.  David L. Sheffield d/b/a Texas Landing Utilities, sewer CCN No. 20569 is nearby to the north of the Goins sewer service area.  Aqua Texas, water CCN No. 13203, is nearby to the northwest of the Goins water service area.  </w:t>
      </w:r>
      <w:r w:rsidR="00774A9D" w:rsidRPr="00E356CD">
        <w:rPr>
          <w:rFonts w:eastAsia="Calibri"/>
        </w:rPr>
        <w:t>Notice of the proposed sale and transfer was provided to these utilities</w:t>
      </w:r>
      <w:r w:rsidR="00C63208">
        <w:rPr>
          <w:rFonts w:eastAsia="Calibri"/>
        </w:rPr>
        <w:t>. N</w:t>
      </w:r>
      <w:r w:rsidR="00774A9D" w:rsidRPr="00E356CD">
        <w:rPr>
          <w:rFonts w:eastAsia="Calibri"/>
        </w:rPr>
        <w:t xml:space="preserve">o objections or comments were received.  </w:t>
      </w:r>
    </w:p>
    <w:bookmarkEnd w:id="3"/>
    <w:p w14:paraId="2580FC4A" w14:textId="77777777" w:rsidR="00F60E14" w:rsidRPr="00E356CD" w:rsidRDefault="00F60E14" w:rsidP="00F60E14">
      <w:pPr>
        <w:rPr>
          <w:bCs/>
          <w:iCs/>
        </w:rPr>
      </w:pPr>
    </w:p>
    <w:p w14:paraId="26D22A01" w14:textId="77777777" w:rsidR="00F60E14" w:rsidRPr="00E356CD" w:rsidRDefault="00F60E14" w:rsidP="00F60E14">
      <w:pPr>
        <w:pStyle w:val="ListParagraph"/>
        <w:numPr>
          <w:ilvl w:val="1"/>
          <w:numId w:val="44"/>
        </w:numPr>
        <w:spacing w:after="0"/>
        <w:ind w:left="360"/>
        <w:contextualSpacing w:val="0"/>
        <w:jc w:val="both"/>
        <w:rPr>
          <w:rFonts w:cs="Times New Roman"/>
          <w:b/>
          <w:i/>
          <w:iCs/>
        </w:rPr>
      </w:pPr>
      <w:r w:rsidRPr="00E356CD">
        <w:rPr>
          <w:rFonts w:cs="Times New Roman"/>
          <w:b/>
          <w:i/>
          <w:iCs/>
        </w:rPr>
        <w:t xml:space="preserve">Consideration of the feasibility of obtaining service from an adjacent retail public utility (TWC § 13.246(c)(5) and 16 TAC § 24.227(e)(5)) </w:t>
      </w:r>
    </w:p>
    <w:p w14:paraId="67A22893" w14:textId="214C77D9" w:rsidR="00F60E14" w:rsidRPr="00E356CD" w:rsidRDefault="00F60E14" w:rsidP="00F60E14">
      <w:pPr>
        <w:pStyle w:val="NoSpacing"/>
        <w:ind w:left="360"/>
        <w:jc w:val="both"/>
        <w:rPr>
          <w:rFonts w:cs="Times New Roman"/>
        </w:rPr>
      </w:pPr>
      <w:r w:rsidRPr="00E356CD">
        <w:rPr>
          <w:rFonts w:cs="Times New Roman"/>
        </w:rPr>
        <w:t>As discussed above, there are retail public utilities in close proximity to Goins’ service areas.  Lake Livingston service area is adjacent to the Goins water service area.  David L. Sheffield d/b/a Texas Landing Utilities, sewer CCN No. 20569, is nearby to the north of the Goins sewer service area.  Aqua Texas, water CCN No. 13203, is nearby to the northwest of the Goins water service area</w:t>
      </w:r>
      <w:r w:rsidR="00763AAE" w:rsidRPr="00E356CD">
        <w:rPr>
          <w:rFonts w:cs="Times New Roman"/>
        </w:rPr>
        <w:t xml:space="preserve">. </w:t>
      </w:r>
      <w:r w:rsidR="00B27F58" w:rsidRPr="00E356CD">
        <w:rPr>
          <w:rFonts w:eastAsia="Calibri"/>
        </w:rPr>
        <w:t xml:space="preserve">Notice of the proposed sale and transfer was provided to all neighboring utilities and </w:t>
      </w:r>
      <w:r w:rsidR="00C30BC3" w:rsidRPr="00E356CD">
        <w:rPr>
          <w:rFonts w:eastAsia="Calibri"/>
        </w:rPr>
        <w:t>entities</w:t>
      </w:r>
      <w:r w:rsidR="00C30BC3">
        <w:rPr>
          <w:rFonts w:eastAsia="Calibri"/>
        </w:rPr>
        <w:t xml:space="preserve">. </w:t>
      </w:r>
      <w:r w:rsidR="00C30BC3" w:rsidRPr="00E356CD">
        <w:rPr>
          <w:rFonts w:eastAsia="Calibri"/>
        </w:rPr>
        <w:t>No</w:t>
      </w:r>
      <w:r w:rsidR="00B27F58" w:rsidRPr="00E356CD">
        <w:rPr>
          <w:rFonts w:eastAsia="Calibri"/>
        </w:rPr>
        <w:t xml:space="preserve"> objections or comments were received.  </w:t>
      </w:r>
    </w:p>
    <w:p w14:paraId="52FB82CB" w14:textId="77777777" w:rsidR="00F60E14" w:rsidRPr="00E356CD" w:rsidRDefault="00F60E14" w:rsidP="00F60E14">
      <w:pPr>
        <w:pStyle w:val="NoSpacing"/>
        <w:ind w:left="360"/>
        <w:jc w:val="both"/>
        <w:rPr>
          <w:rFonts w:cs="Times New Roman"/>
        </w:rPr>
      </w:pPr>
    </w:p>
    <w:p w14:paraId="15D57519" w14:textId="77777777" w:rsidR="00F60E14" w:rsidRPr="00E356CD" w:rsidRDefault="00F60E14" w:rsidP="00F60E14">
      <w:pPr>
        <w:pStyle w:val="ListParagraph"/>
        <w:numPr>
          <w:ilvl w:val="1"/>
          <w:numId w:val="44"/>
        </w:numPr>
        <w:spacing w:after="0"/>
        <w:ind w:left="360"/>
        <w:contextualSpacing w:val="0"/>
        <w:jc w:val="both"/>
        <w:rPr>
          <w:rFonts w:cs="Times New Roman"/>
          <w:b/>
          <w:i/>
          <w:iCs/>
        </w:rPr>
      </w:pPr>
      <w:r w:rsidRPr="00E356CD">
        <w:rPr>
          <w:rFonts w:cs="Times New Roman"/>
          <w:b/>
          <w:i/>
          <w:iCs/>
        </w:rPr>
        <w:t xml:space="preserve">Consideration of the financial ability of the applicant to pay for facilities necessary to provide continuous and adequate service (TWC § 13.246(c)(6) and 16 TAC § 24.227(e)(6)) </w:t>
      </w:r>
    </w:p>
    <w:p w14:paraId="38FA0145" w14:textId="133B334D" w:rsidR="00F60E14" w:rsidRPr="00E356CD"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eastAsiaTheme="minorHAnsi" w:cs="Times New Roman"/>
          <w:b/>
          <w:bCs/>
          <w:u w:val="single"/>
        </w:rPr>
      </w:pPr>
      <w:r w:rsidRPr="00E356CD">
        <w:rPr>
          <w:rFonts w:eastAsiaTheme="minorHAnsi" w:cs="Times New Roman"/>
        </w:rPr>
        <w:t>Fred Bednarski</w:t>
      </w:r>
      <w:r w:rsidR="00C63208">
        <w:rPr>
          <w:rFonts w:eastAsiaTheme="minorHAnsi" w:cs="Times New Roman"/>
        </w:rPr>
        <w:t>,</w:t>
      </w:r>
      <w:r w:rsidRPr="00E356CD">
        <w:rPr>
          <w:rFonts w:eastAsiaTheme="minorHAnsi" w:cs="Times New Roman"/>
        </w:rPr>
        <w:t xml:space="preserve"> Rate Regulation Division</w:t>
      </w:r>
      <w:r w:rsidR="00C63208">
        <w:rPr>
          <w:rFonts w:eastAsiaTheme="minorHAnsi" w:cs="Times New Roman"/>
        </w:rPr>
        <w:t>,</w:t>
      </w:r>
      <w:r w:rsidRPr="00E356CD">
        <w:rPr>
          <w:rFonts w:eastAsiaTheme="minorHAnsi" w:cs="Times New Roman"/>
        </w:rPr>
        <w:t xml:space="preserve"> is addressing this factor.</w:t>
      </w:r>
    </w:p>
    <w:p w14:paraId="6A0F8EF4" w14:textId="77777777" w:rsidR="00F60E14" w:rsidRPr="00E356CD"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p w14:paraId="71EC0D24" w14:textId="77777777" w:rsidR="00F60E14" w:rsidRPr="00E356CD" w:rsidRDefault="00F60E14" w:rsidP="00F60E14">
      <w:pPr>
        <w:pStyle w:val="ListParagraph"/>
        <w:numPr>
          <w:ilvl w:val="1"/>
          <w:numId w:val="44"/>
        </w:numPr>
        <w:spacing w:after="0"/>
        <w:ind w:left="360"/>
        <w:contextualSpacing w:val="0"/>
        <w:jc w:val="both"/>
        <w:rPr>
          <w:rFonts w:cs="Times New Roman"/>
          <w:b/>
          <w:i/>
          <w:iCs/>
        </w:rPr>
      </w:pPr>
      <w:r w:rsidRPr="00E356CD">
        <w:rPr>
          <w:rFonts w:cs="Times New Roman"/>
          <w:b/>
          <w:i/>
          <w:iCs/>
        </w:rPr>
        <w:t xml:space="preserve">Requirement of an applicant to provide a bond or other financial assurance in a form and amount specified by the Commission to ensure that continuous and adequate utility service is provided (TWC § 13.246(d) and 16 TAC § 24.227(f)) </w:t>
      </w:r>
    </w:p>
    <w:p w14:paraId="07C10A81" w14:textId="612BDEAC" w:rsidR="00F60E14" w:rsidRPr="00E356CD" w:rsidRDefault="00F60E14" w:rsidP="00F60E14">
      <w:pPr>
        <w:pStyle w:val="ListParagraph"/>
        <w:spacing w:after="0"/>
        <w:ind w:left="360" w:firstLine="0"/>
        <w:contextualSpacing w:val="0"/>
        <w:jc w:val="both"/>
        <w:rPr>
          <w:rFonts w:cs="Times New Roman"/>
          <w:bCs/>
          <w:iCs/>
        </w:rPr>
      </w:pPr>
      <w:r w:rsidRPr="00E356CD">
        <w:rPr>
          <w:rFonts w:cs="Times New Roman"/>
          <w:bCs/>
          <w:iCs/>
        </w:rPr>
        <w:t>Fred Bednarski</w:t>
      </w:r>
      <w:r w:rsidR="00C63208">
        <w:rPr>
          <w:rFonts w:cs="Times New Roman"/>
          <w:bCs/>
          <w:iCs/>
        </w:rPr>
        <w:t>,</w:t>
      </w:r>
      <w:r w:rsidRPr="00E356CD">
        <w:rPr>
          <w:rFonts w:cs="Times New Roman"/>
          <w:bCs/>
          <w:iCs/>
        </w:rPr>
        <w:t xml:space="preserve"> Rate Regulation Division</w:t>
      </w:r>
      <w:r w:rsidR="00C63208">
        <w:rPr>
          <w:rFonts w:cs="Times New Roman"/>
          <w:bCs/>
          <w:iCs/>
        </w:rPr>
        <w:t>,</w:t>
      </w:r>
      <w:r w:rsidRPr="00E356CD">
        <w:rPr>
          <w:rFonts w:cs="Times New Roman"/>
          <w:bCs/>
          <w:iCs/>
        </w:rPr>
        <w:t xml:space="preserve"> is addressing this factor.</w:t>
      </w:r>
    </w:p>
    <w:p w14:paraId="13BCA40C" w14:textId="77777777" w:rsidR="00F60E14" w:rsidRPr="00E356CD" w:rsidRDefault="00F60E14" w:rsidP="00F60E14">
      <w:pPr>
        <w:pStyle w:val="ListParagraph"/>
        <w:spacing w:before="120" w:after="0"/>
        <w:ind w:firstLine="0"/>
        <w:jc w:val="both"/>
        <w:rPr>
          <w:rFonts w:cs="Times New Roman"/>
          <w:b/>
          <w:i/>
        </w:rPr>
      </w:pPr>
    </w:p>
    <w:p w14:paraId="46EE2824" w14:textId="6B0A542F" w:rsidR="00F60E14" w:rsidRPr="00E356CD" w:rsidRDefault="00F60E14" w:rsidP="00F60E14">
      <w:pPr>
        <w:pStyle w:val="ListParagraph"/>
        <w:numPr>
          <w:ilvl w:val="1"/>
          <w:numId w:val="44"/>
        </w:numPr>
        <w:spacing w:after="0"/>
        <w:ind w:left="360"/>
        <w:contextualSpacing w:val="0"/>
        <w:jc w:val="both"/>
        <w:rPr>
          <w:rFonts w:cs="Times New Roman"/>
          <w:b/>
          <w:i/>
          <w:iCs/>
        </w:rPr>
      </w:pPr>
      <w:r w:rsidRPr="00E356CD">
        <w:rPr>
          <w:rFonts w:cs="Times New Roman"/>
          <w:b/>
          <w:i/>
          <w:iCs/>
        </w:rPr>
        <w:t>Consideration of environmental integrity and the effect on the land to be included in the certificated area (TWC §§ 13.246(c)(7) and (9)</w:t>
      </w:r>
      <w:r w:rsidR="00C63208">
        <w:rPr>
          <w:rFonts w:cs="Times New Roman"/>
          <w:b/>
          <w:i/>
          <w:iCs/>
        </w:rPr>
        <w:t>;</w:t>
      </w:r>
      <w:r w:rsidRPr="00E356CD">
        <w:rPr>
          <w:rFonts w:cs="Times New Roman"/>
          <w:b/>
          <w:i/>
          <w:iCs/>
        </w:rPr>
        <w:t xml:space="preserve"> 16 TAC § 24.227(e)(7) and (9)) </w:t>
      </w:r>
    </w:p>
    <w:p w14:paraId="029B3645" w14:textId="3EA090E4" w:rsidR="00F60E14" w:rsidRPr="00E356CD" w:rsidRDefault="00F60E14" w:rsidP="0078485C">
      <w:pPr>
        <w:pStyle w:val="ListParagraph"/>
        <w:spacing w:after="0"/>
        <w:ind w:left="360" w:firstLine="0"/>
        <w:contextualSpacing w:val="0"/>
        <w:jc w:val="both"/>
        <w:rPr>
          <w:rFonts w:cs="Times New Roman"/>
        </w:rPr>
      </w:pPr>
      <w:r w:rsidRPr="00E356CD">
        <w:rPr>
          <w:rFonts w:cs="Times New Roman"/>
        </w:rPr>
        <w:t>Monarch’s plans for major construction to provide service in the Goins service areas may affect the environmental integrity of the land.  Monarch</w:t>
      </w:r>
      <w:r w:rsidR="003A2E66" w:rsidRPr="00E356CD">
        <w:rPr>
          <w:rFonts w:cs="Times New Roman"/>
        </w:rPr>
        <w:t>’s</w:t>
      </w:r>
      <w:r w:rsidRPr="00E356CD">
        <w:rPr>
          <w:rFonts w:cs="Times New Roman"/>
        </w:rPr>
        <w:t xml:space="preserve"> construction plans include replacement of the existing wastewater treatment plant.  </w:t>
      </w:r>
      <w:r w:rsidR="00AE66DF" w:rsidRPr="00E356CD">
        <w:t xml:space="preserve">To replace the </w:t>
      </w:r>
      <w:r w:rsidR="00062DFD" w:rsidRPr="00E356CD">
        <w:t>existing</w:t>
      </w:r>
      <w:r w:rsidR="00AE66DF" w:rsidRPr="00E356CD">
        <w:t xml:space="preserve"> wastewater treatment plant, Monarch plans to construct a new wastewater treatment plant adjacent to the existing plant, on the property owned by Goins.  The sludge from the existing wastewater treatment plant will be transferred to the new treatment plant to </w:t>
      </w:r>
      <w:proofErr w:type="spellStart"/>
      <w:r w:rsidR="00AE66DF" w:rsidRPr="00E356CD">
        <w:t>seed</w:t>
      </w:r>
      <w:proofErr w:type="spellEnd"/>
      <w:r w:rsidR="00AE66DF" w:rsidRPr="00E356CD">
        <w:t xml:space="preserve"> the process.  The existing plant will be cleaned, dismantled, and transported to a local scrap metal yard for disposal in accordance with all applicable TCEQ standards.  Sod grass will be planted over the old treatment plant’s footprint.  Throughout the planning and implementation phases of the project, Monarch will </w:t>
      </w:r>
      <w:r w:rsidR="00AE66DF" w:rsidRPr="00E356CD">
        <w:lastRenderedPageBreak/>
        <w:t xml:space="preserve">ensure that environmental integrity is maintained. Additionally, the environmental effects of said projects will be addressed, reviewed, and regulated by the TCEQ.  Making the upgrades and improvements to both the water and wastewater systems and operating them with professional operators </w:t>
      </w:r>
      <w:r w:rsidR="009241D2" w:rsidRPr="00E356CD">
        <w:t>may</w:t>
      </w:r>
      <w:r w:rsidR="00AE66DF" w:rsidRPr="00E356CD">
        <w:t xml:space="preserve"> be viewed as a general improvement to the environmental integrity of the systems.  </w:t>
      </w:r>
    </w:p>
    <w:p w14:paraId="203A38FF" w14:textId="77777777" w:rsidR="00B27F58" w:rsidRPr="00E356CD" w:rsidRDefault="00B27F58" w:rsidP="0078485C">
      <w:pPr>
        <w:pStyle w:val="ListParagraph"/>
        <w:spacing w:after="0"/>
        <w:ind w:left="360" w:firstLine="0"/>
        <w:contextualSpacing w:val="0"/>
        <w:jc w:val="both"/>
        <w:rPr>
          <w:rFonts w:cs="Times New Roman"/>
        </w:rPr>
      </w:pPr>
    </w:p>
    <w:p w14:paraId="4CB19769" w14:textId="0DB764FB" w:rsidR="00F60E14" w:rsidRPr="00E356CD" w:rsidRDefault="00F60E14" w:rsidP="00F60E14">
      <w:pPr>
        <w:pStyle w:val="ListParagraph"/>
        <w:numPr>
          <w:ilvl w:val="1"/>
          <w:numId w:val="44"/>
        </w:numPr>
        <w:spacing w:after="0"/>
        <w:ind w:left="360" w:hanging="522"/>
        <w:contextualSpacing w:val="0"/>
        <w:jc w:val="both"/>
        <w:rPr>
          <w:rFonts w:cs="Times New Roman"/>
          <w:b/>
          <w:i/>
          <w:iCs/>
        </w:rPr>
      </w:pPr>
      <w:r w:rsidRPr="00E356CD">
        <w:rPr>
          <w:rFonts w:cs="Times New Roman"/>
          <w:b/>
          <w:i/>
          <w:iCs/>
        </w:rPr>
        <w:t>Consideration of the probable improvement in service or lowering of cost to consumers (</w:t>
      </w:r>
      <w:bookmarkStart w:id="4" w:name="_Hlk55291898"/>
      <w:r w:rsidRPr="00E356CD">
        <w:rPr>
          <w:rFonts w:cs="Times New Roman"/>
          <w:b/>
          <w:i/>
          <w:iCs/>
        </w:rPr>
        <w:t>TWC § 13.246(c)</w:t>
      </w:r>
      <w:bookmarkEnd w:id="4"/>
      <w:r w:rsidRPr="00E356CD">
        <w:rPr>
          <w:rFonts w:cs="Times New Roman"/>
          <w:b/>
          <w:i/>
          <w:iCs/>
        </w:rPr>
        <w:t xml:space="preserve">(8) and 16 TAC § 24.227(e)(8)) </w:t>
      </w:r>
    </w:p>
    <w:p w14:paraId="540A64C5" w14:textId="3620ADBD" w:rsidR="00F60E14" w:rsidRPr="00E356CD" w:rsidRDefault="00F60E14" w:rsidP="00C14598">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r w:rsidRPr="00E356CD">
        <w:rPr>
          <w:rFonts w:cs="Times New Roman"/>
        </w:rPr>
        <w:t xml:space="preserve">The applicants </w:t>
      </w:r>
      <w:r w:rsidR="00996833" w:rsidRPr="00E356CD">
        <w:rPr>
          <w:rFonts w:cs="Times New Roman"/>
        </w:rPr>
        <w:t>have</w:t>
      </w:r>
      <w:r w:rsidRPr="00E356CD">
        <w:rPr>
          <w:rFonts w:cs="Times New Roman"/>
        </w:rPr>
        <w:t xml:space="preserve"> demonstrate</w:t>
      </w:r>
      <w:r w:rsidR="00996833" w:rsidRPr="00E356CD">
        <w:rPr>
          <w:rFonts w:cs="Times New Roman"/>
        </w:rPr>
        <w:t>d</w:t>
      </w:r>
      <w:r w:rsidRPr="00E356CD">
        <w:rPr>
          <w:rFonts w:cs="Times New Roman"/>
        </w:rPr>
        <w:t xml:space="preserve"> that there would be an improvement in service if the application is approved.  As explained above in subsection 3.4, </w:t>
      </w:r>
      <w:r w:rsidRPr="00E356CD">
        <w:rPr>
          <w:rFonts w:cs="Times New Roman"/>
          <w:noProof/>
        </w:rPr>
        <w:t xml:space="preserve">Monarch’s </w:t>
      </w:r>
      <w:r w:rsidR="00437FDF" w:rsidRPr="00E356CD">
        <w:rPr>
          <w:rFonts w:cs="Times New Roman"/>
          <w:noProof/>
        </w:rPr>
        <w:t xml:space="preserve">violations </w:t>
      </w:r>
      <w:r w:rsidR="006E04C0" w:rsidRPr="00E356CD">
        <w:rPr>
          <w:rFonts w:cs="Times New Roman"/>
        </w:rPr>
        <w:t xml:space="preserve">related to the adjacent </w:t>
      </w:r>
      <w:r w:rsidR="006E04C0" w:rsidRPr="00E356CD">
        <w:t>Oak Terrace Estates water system</w:t>
      </w:r>
      <w:r w:rsidR="006E04C0" w:rsidRPr="00E356CD">
        <w:rPr>
          <w:rFonts w:cs="Times New Roman"/>
          <w:noProof/>
        </w:rPr>
        <w:t xml:space="preserve"> </w:t>
      </w:r>
      <w:r w:rsidR="0078148F" w:rsidRPr="00E356CD">
        <w:rPr>
          <w:rFonts w:cs="Times New Roman"/>
          <w:noProof/>
        </w:rPr>
        <w:t xml:space="preserve">appear to have been resolved by </w:t>
      </w:r>
      <w:r w:rsidR="00922A96" w:rsidRPr="00E356CD">
        <w:rPr>
          <w:rFonts w:cs="Times New Roman"/>
          <w:noProof/>
        </w:rPr>
        <w:t>the submission of a construction request to TCEQ for a replacement pressure tank</w:t>
      </w:r>
      <w:r w:rsidR="00C5099C" w:rsidRPr="00E356CD">
        <w:rPr>
          <w:rFonts w:cs="Times New Roman"/>
          <w:noProof/>
        </w:rPr>
        <w:t xml:space="preserve"> and </w:t>
      </w:r>
      <w:r w:rsidR="00043C47" w:rsidRPr="00E356CD">
        <w:rPr>
          <w:rFonts w:cs="Times New Roman"/>
          <w:noProof/>
        </w:rPr>
        <w:t xml:space="preserve">the </w:t>
      </w:r>
      <w:r w:rsidR="00C5099C" w:rsidRPr="00E356CD">
        <w:rPr>
          <w:rFonts w:cs="Times New Roman"/>
          <w:noProof/>
        </w:rPr>
        <w:t>construction of a new well</w:t>
      </w:r>
      <w:r w:rsidRPr="00E356CD">
        <w:rPr>
          <w:rFonts w:cs="Times New Roman"/>
        </w:rPr>
        <w:t>.</w:t>
      </w:r>
      <w:r w:rsidR="009B2452" w:rsidRPr="00E356CD">
        <w:rPr>
          <w:rFonts w:cs="Times New Roman"/>
        </w:rPr>
        <w:t xml:space="preserve"> In addition, Monarch plans to interconnect the Goins’</w:t>
      </w:r>
      <w:r w:rsidR="00C63208">
        <w:rPr>
          <w:rFonts w:cs="Times New Roman"/>
        </w:rPr>
        <w:t>s</w:t>
      </w:r>
      <w:r w:rsidR="009B2452" w:rsidRPr="00E356CD">
        <w:rPr>
          <w:rFonts w:cs="Times New Roman"/>
        </w:rPr>
        <w:t xml:space="preserve"> water system to Monarch’s Oak Terrace Estates water system</w:t>
      </w:r>
      <w:r w:rsidR="00BE1FC4" w:rsidRPr="00E356CD">
        <w:rPr>
          <w:rFonts w:cs="Times New Roman"/>
        </w:rPr>
        <w:t xml:space="preserve">. </w:t>
      </w:r>
      <w:r w:rsidR="00C63208">
        <w:rPr>
          <w:rFonts w:cs="Times New Roman"/>
        </w:rPr>
        <w:t>This</w:t>
      </w:r>
      <w:r w:rsidR="00C63208" w:rsidRPr="00E356CD">
        <w:rPr>
          <w:rFonts w:cs="Times New Roman"/>
        </w:rPr>
        <w:t xml:space="preserve"> </w:t>
      </w:r>
      <w:r w:rsidR="00870867" w:rsidRPr="00E356CD">
        <w:rPr>
          <w:rFonts w:cs="Times New Roman"/>
        </w:rPr>
        <w:t>interconnection</w:t>
      </w:r>
      <w:r w:rsidR="00293A87" w:rsidRPr="00E356CD">
        <w:rPr>
          <w:rFonts w:cs="Times New Roman"/>
        </w:rPr>
        <w:t xml:space="preserve"> will improve the reliability of water service to the customers </w:t>
      </w:r>
      <w:r w:rsidR="00B90ECC" w:rsidRPr="00E356CD">
        <w:rPr>
          <w:rFonts w:cs="Times New Roman"/>
        </w:rPr>
        <w:t>by providing</w:t>
      </w:r>
      <w:r w:rsidR="00F51D17" w:rsidRPr="00E356CD">
        <w:rPr>
          <w:rFonts w:cs="Times New Roman"/>
        </w:rPr>
        <w:t xml:space="preserve"> an additional water supply</w:t>
      </w:r>
      <w:r w:rsidR="00273D08" w:rsidRPr="00E356CD">
        <w:rPr>
          <w:rFonts w:cs="Times New Roman"/>
        </w:rPr>
        <w:t xml:space="preserve">. </w:t>
      </w:r>
    </w:p>
    <w:p w14:paraId="2DC8BA4D" w14:textId="77777777" w:rsidR="00F60E14" w:rsidRPr="00E356CD"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p>
    <w:p w14:paraId="64C84758" w14:textId="2FA9FD0A" w:rsidR="00AD3EEB" w:rsidRPr="00E356CD" w:rsidRDefault="00043C47" w:rsidP="0090733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pPr>
      <w:r w:rsidRPr="00E356CD">
        <w:t xml:space="preserve">Monarch plans to </w:t>
      </w:r>
      <w:r w:rsidR="00AD3EEB" w:rsidRPr="00E356CD">
        <w:t xml:space="preserve">maintain Goins’ customer rates at </w:t>
      </w:r>
      <w:r w:rsidR="009241D2" w:rsidRPr="00E356CD">
        <w:t xml:space="preserve">the </w:t>
      </w:r>
      <w:r w:rsidR="00AD3EEB" w:rsidRPr="00E356CD">
        <w:t xml:space="preserve">existing levels until Monarch’s next full rate change application (e.g., general rate case).  All other Monarch tariffed fees and terms of service will apply to the customers connected to the water and wastewater facilities being acquired.  </w:t>
      </w:r>
    </w:p>
    <w:p w14:paraId="015A77C2" w14:textId="7265F15A" w:rsidR="00F60E14" w:rsidRPr="00E356CD"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450"/>
        <w:rPr>
          <w:rFonts w:cs="Times New Roman"/>
          <w:shd w:val="clear" w:color="auto" w:fill="FFFFFF"/>
        </w:rPr>
      </w:pPr>
    </w:p>
    <w:p w14:paraId="4EAC8BC1" w14:textId="2EA3DEE5" w:rsidR="00F60E14" w:rsidRPr="00E356CD" w:rsidRDefault="00F60E14" w:rsidP="00907337">
      <w:pPr>
        <w:pStyle w:val="ListParagraph"/>
        <w:numPr>
          <w:ilvl w:val="1"/>
          <w:numId w:val="44"/>
        </w:numPr>
        <w:spacing w:after="0"/>
        <w:ind w:left="360" w:hanging="540"/>
        <w:contextualSpacing w:val="0"/>
        <w:jc w:val="both"/>
        <w:rPr>
          <w:rFonts w:cs="Times New Roman"/>
          <w:b/>
          <w:i/>
          <w:iCs/>
        </w:rPr>
      </w:pPr>
      <w:r w:rsidRPr="00E356CD">
        <w:rPr>
          <w:rFonts w:cs="Times New Roman"/>
          <w:b/>
          <w:i/>
          <w:iCs/>
        </w:rPr>
        <w:t xml:space="preserve">Other factor considered – </w:t>
      </w:r>
      <w:r w:rsidR="00DB4932" w:rsidRPr="00E356CD">
        <w:rPr>
          <w:rFonts w:cs="Times New Roman"/>
          <w:b/>
          <w:i/>
          <w:iCs/>
        </w:rPr>
        <w:t>Nonfunctioning</w:t>
      </w:r>
      <w:r w:rsidRPr="00E356CD">
        <w:rPr>
          <w:rFonts w:cs="Times New Roman"/>
          <w:b/>
          <w:i/>
          <w:iCs/>
        </w:rPr>
        <w:t xml:space="preserve"> </w:t>
      </w:r>
      <w:r w:rsidR="00DB4932" w:rsidRPr="00E356CD">
        <w:rPr>
          <w:rFonts w:cs="Times New Roman"/>
          <w:b/>
          <w:i/>
          <w:iCs/>
        </w:rPr>
        <w:t xml:space="preserve">system or </w:t>
      </w:r>
      <w:r w:rsidRPr="00E356CD">
        <w:rPr>
          <w:rFonts w:cs="Times New Roman"/>
          <w:b/>
          <w:i/>
          <w:iCs/>
        </w:rPr>
        <w:t>utility status of Goins</w:t>
      </w:r>
    </w:p>
    <w:p w14:paraId="0211E640" w14:textId="239F58C5" w:rsidR="00F60E14" w:rsidRPr="00E356CD" w:rsidRDefault="00F60E14" w:rsidP="0090733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shd w:val="clear" w:color="auto" w:fill="FFFFFF"/>
        </w:rPr>
      </w:pPr>
      <w:r w:rsidRPr="00E356CD">
        <w:rPr>
          <w:rFonts w:cs="Times New Roman"/>
          <w:shd w:val="clear" w:color="auto" w:fill="FFFFFF"/>
        </w:rPr>
        <w:t xml:space="preserve">Goins is a very small utility, with only 36 water and sewer customers, and does not appear to be affiliated with other water and sewer utilities.  In addition, it is out of compliance with the requirement to have a </w:t>
      </w:r>
      <w:r w:rsidR="008D0100" w:rsidRPr="00E356CD">
        <w:rPr>
          <w:rFonts w:cs="Times New Roman"/>
          <w:shd w:val="clear" w:color="auto" w:fill="FFFFFF"/>
        </w:rPr>
        <w:t xml:space="preserve">Commission-approved </w:t>
      </w:r>
      <w:r w:rsidRPr="00E356CD">
        <w:rPr>
          <w:rFonts w:cs="Times New Roman"/>
          <w:shd w:val="clear" w:color="auto" w:fill="FFFFFF"/>
        </w:rPr>
        <w:t xml:space="preserve">tariff.  As a result, </w:t>
      </w:r>
      <w:r w:rsidR="00DB4932" w:rsidRPr="00E356CD">
        <w:rPr>
          <w:rFonts w:cs="Times New Roman"/>
          <w:shd w:val="clear" w:color="auto" w:fill="FFFFFF"/>
        </w:rPr>
        <w:t xml:space="preserve">Goins </w:t>
      </w:r>
      <w:r w:rsidRPr="00E356CD">
        <w:rPr>
          <w:rFonts w:cs="Times New Roman"/>
          <w:shd w:val="clear" w:color="auto" w:fill="FFFFFF"/>
        </w:rPr>
        <w:t xml:space="preserve">is a </w:t>
      </w:r>
      <w:r w:rsidR="00DB4932" w:rsidRPr="00E356CD">
        <w:rPr>
          <w:rFonts w:cs="Times New Roman"/>
          <w:shd w:val="clear" w:color="auto" w:fill="FFFFFF"/>
        </w:rPr>
        <w:t xml:space="preserve">nonfunctioning system or utility </w:t>
      </w:r>
      <w:r w:rsidRPr="00E356CD">
        <w:rPr>
          <w:rFonts w:cs="Times New Roman"/>
          <w:shd w:val="clear" w:color="auto" w:fill="FFFFFF"/>
        </w:rPr>
        <w:t xml:space="preserve">as that term is defined in </w:t>
      </w:r>
      <w:r w:rsidR="00DB4932" w:rsidRPr="00E356CD">
        <w:rPr>
          <w:rFonts w:cs="Times New Roman"/>
          <w:shd w:val="clear" w:color="auto" w:fill="FFFFFF"/>
        </w:rPr>
        <w:t>16 TAC § 24.3(23)(A).</w:t>
      </w:r>
      <w:r w:rsidRPr="00E356CD">
        <w:rPr>
          <w:rFonts w:cs="Times New Roman"/>
          <w:shd w:val="clear" w:color="auto" w:fill="FFFFFF"/>
        </w:rPr>
        <w:t xml:space="preserve">  As a class A utility, Monarch has the resources to bring </w:t>
      </w:r>
      <w:r w:rsidR="0078485C" w:rsidRPr="00E356CD">
        <w:rPr>
          <w:rFonts w:cs="Times New Roman"/>
          <w:shd w:val="clear" w:color="auto" w:fill="FFFFFF"/>
        </w:rPr>
        <w:t>Goins</w:t>
      </w:r>
      <w:r w:rsidRPr="00E356CD">
        <w:rPr>
          <w:rFonts w:cs="Times New Roman"/>
          <w:shd w:val="clear" w:color="auto" w:fill="FFFFFF"/>
        </w:rPr>
        <w:t xml:space="preserve"> into compliance with the Commission’s regulatory requirements.</w:t>
      </w:r>
    </w:p>
    <w:p w14:paraId="331D462C" w14:textId="77777777" w:rsidR="00AD3EEB" w:rsidRPr="00E356CD" w:rsidRDefault="00AD3EEB" w:rsidP="007848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450"/>
        <w:rPr>
          <w:rFonts w:cs="Times New Roman"/>
          <w:shd w:val="clear" w:color="auto" w:fill="FFFFFF"/>
        </w:rPr>
      </w:pPr>
    </w:p>
    <w:p w14:paraId="03BAD4E9" w14:textId="77777777" w:rsidR="00F60E14" w:rsidRPr="00E356CD" w:rsidRDefault="00F60E14" w:rsidP="00F60E14">
      <w:pPr>
        <w:pStyle w:val="BodyText"/>
        <w:numPr>
          <w:ilvl w:val="0"/>
          <w:numId w:val="44"/>
        </w:numPr>
        <w:spacing w:after="0"/>
        <w:jc w:val="both"/>
        <w:rPr>
          <w:rFonts w:eastAsia="Times New Roman" w:cs="Times New Roman"/>
          <w:b/>
          <w:u w:val="single"/>
        </w:rPr>
      </w:pPr>
      <w:r w:rsidRPr="00E356CD">
        <w:rPr>
          <w:rFonts w:eastAsia="Times New Roman" w:cs="Times New Roman"/>
          <w:b/>
          <w:u w:val="single"/>
        </w:rPr>
        <w:t>Recommendation</w:t>
      </w:r>
    </w:p>
    <w:p w14:paraId="756031FB" w14:textId="6E41AFC6" w:rsidR="005D41FF" w:rsidRPr="00E356CD" w:rsidRDefault="00F60E14" w:rsidP="00907337">
      <w:pPr>
        <w:rPr>
          <w:rFonts w:cs="Times New Roman"/>
        </w:rPr>
      </w:pPr>
      <w:r w:rsidRPr="00E356CD">
        <w:rPr>
          <w:rFonts w:cs="Times New Roman"/>
        </w:rPr>
        <w:t xml:space="preserve">Monarch </w:t>
      </w:r>
      <w:r w:rsidR="00DB4932" w:rsidRPr="00E356CD">
        <w:rPr>
          <w:rFonts w:cs="Times New Roman"/>
        </w:rPr>
        <w:t xml:space="preserve">has </w:t>
      </w:r>
      <w:r w:rsidRPr="00E356CD">
        <w:rPr>
          <w:rFonts w:cs="Times New Roman"/>
        </w:rPr>
        <w:t>provide</w:t>
      </w:r>
      <w:r w:rsidR="00DB4932" w:rsidRPr="00E356CD">
        <w:rPr>
          <w:rFonts w:cs="Times New Roman"/>
        </w:rPr>
        <w:t>d</w:t>
      </w:r>
      <w:r w:rsidRPr="00E356CD">
        <w:rPr>
          <w:rFonts w:cs="Times New Roman"/>
        </w:rPr>
        <w:t xml:space="preserve"> reasonable assurances that it will provide quality service to the customers of Goins</w:t>
      </w:r>
      <w:r w:rsidR="00DB4932" w:rsidRPr="00E356CD">
        <w:rPr>
          <w:rFonts w:cs="Times New Roman"/>
        </w:rPr>
        <w:t>.</w:t>
      </w:r>
      <w:r w:rsidRPr="00E356CD">
        <w:rPr>
          <w:rFonts w:cs="Times New Roman"/>
        </w:rPr>
        <w:t xml:space="preserve"> </w:t>
      </w:r>
      <w:r w:rsidR="006E04C0" w:rsidRPr="00E356CD">
        <w:rPr>
          <w:rFonts w:cs="Times New Roman"/>
        </w:rPr>
        <w:t xml:space="preserve">In addition, </w:t>
      </w:r>
      <w:r w:rsidR="006E04C0" w:rsidRPr="00E356CD">
        <w:t xml:space="preserve">Monarch plans to maintain Goins’ customer rates at the existing levels until Monarch’s next full rate change application (e.g., general rate case).  All other Monarch tariffed fees and terms of service will apply to the customers connected to the water and wastewater facilities being acquired.  </w:t>
      </w:r>
      <w:r w:rsidR="00DB4932" w:rsidRPr="00E356CD">
        <w:rPr>
          <w:rFonts w:cs="Times New Roman"/>
        </w:rPr>
        <w:t xml:space="preserve">Therefore, </w:t>
      </w:r>
      <w:r w:rsidRPr="00E356CD">
        <w:rPr>
          <w:rFonts w:cs="Times New Roman"/>
        </w:rPr>
        <w:t>I recommend approval of the transaction</w:t>
      </w:r>
      <w:r w:rsidR="00763AAE" w:rsidRPr="00E356CD">
        <w:rPr>
          <w:rFonts w:cs="Times New Roman"/>
        </w:rPr>
        <w:t>.</w:t>
      </w:r>
      <w:r w:rsidRPr="00E356CD">
        <w:rPr>
          <w:rFonts w:cs="Times New Roman"/>
        </w:rPr>
        <w:t xml:space="preserve"> </w:t>
      </w:r>
      <w:r w:rsidR="00B4488A" w:rsidRPr="00E356CD">
        <w:rPr>
          <w:rFonts w:cs="Times New Roman"/>
        </w:rPr>
        <w:t>There are no deposits held by Goins for its existing customers.</w:t>
      </w:r>
      <w:r w:rsidR="005C48DD" w:rsidRPr="00E356CD">
        <w:rPr>
          <w:rFonts w:cs="Times New Roman"/>
        </w:rPr>
        <w:t xml:space="preserve"> I am not expressing an opinion on the prudence of Monarch’s plan to replace the existing Goins’ wastewater treatment plant.</w:t>
      </w:r>
    </w:p>
    <w:sectPr w:rsidR="005D41FF" w:rsidRPr="00E356CD" w:rsidSect="004327E1">
      <w:footerReference w:type="default" r:id="rId8"/>
      <w:headerReference w:type="first" r:id="rId9"/>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E56B2" w14:textId="77777777" w:rsidR="0007497E" w:rsidRDefault="0007497E" w:rsidP="00C926EC">
      <w:r>
        <w:separator/>
      </w:r>
    </w:p>
  </w:endnote>
  <w:endnote w:type="continuationSeparator" w:id="0">
    <w:p w14:paraId="35478A12" w14:textId="77777777" w:rsidR="0007497E" w:rsidRDefault="0007497E"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A3192" w14:textId="2719C005" w:rsidR="00F60E14" w:rsidRPr="00F60E14" w:rsidRDefault="00F60E14" w:rsidP="00F60E14">
    <w:pPr>
      <w:pStyle w:val="Footer"/>
      <w:jc w:val="right"/>
      <w:rPr>
        <w:rFonts w:ascii="Times New Roman" w:hAnsi="Times New Roman" w:cs="Times New Roman"/>
      </w:rPr>
    </w:pPr>
    <w:r w:rsidRPr="000903E8">
      <w:rPr>
        <w:rFonts w:ascii="Times New Roman" w:hAnsi="Times New Roman" w:cs="Times New Roman"/>
      </w:rPr>
      <w:t xml:space="preserve">Page </w:t>
    </w:r>
    <w:sdt>
      <w:sdtPr>
        <w:rPr>
          <w:rFonts w:ascii="Times New Roman" w:hAnsi="Times New Roman" w:cs="Times New Roman"/>
        </w:rPr>
        <w:id w:val="-139505223"/>
        <w:docPartObj>
          <w:docPartGallery w:val="Page Numbers (Bottom of Page)"/>
          <w:docPartUnique/>
        </w:docPartObj>
      </w:sdtPr>
      <w:sdtEndPr>
        <w:rPr>
          <w:noProof/>
        </w:rPr>
      </w:sdtEndPr>
      <w:sdtContent>
        <w:r w:rsidRPr="000903E8">
          <w:rPr>
            <w:rFonts w:ascii="Times New Roman" w:hAnsi="Times New Roman" w:cs="Times New Roman"/>
          </w:rPr>
          <w:fldChar w:fldCharType="begin"/>
        </w:r>
        <w:r w:rsidRPr="000903E8">
          <w:rPr>
            <w:rFonts w:ascii="Times New Roman" w:hAnsi="Times New Roman" w:cs="Times New Roman"/>
          </w:rPr>
          <w:instrText xml:space="preserve"> PAGE   \* MERGEFORMAT </w:instrText>
        </w:r>
        <w:r w:rsidRPr="000903E8">
          <w:rPr>
            <w:rFonts w:ascii="Times New Roman" w:hAnsi="Times New Roman" w:cs="Times New Roman"/>
          </w:rPr>
          <w:fldChar w:fldCharType="separate"/>
        </w:r>
        <w:r>
          <w:rPr>
            <w:rFonts w:ascii="Times New Roman" w:hAnsi="Times New Roman" w:cs="Times New Roman"/>
          </w:rPr>
          <w:t>5</w:t>
        </w:r>
        <w:r w:rsidRPr="000903E8">
          <w:rPr>
            <w:rFonts w:ascii="Times New Roman" w:hAnsi="Times New Roman" w:cs="Times New Roman"/>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66D9F" w14:textId="77777777" w:rsidR="0007497E" w:rsidRDefault="0007497E" w:rsidP="00C926EC">
      <w:r>
        <w:separator/>
      </w:r>
    </w:p>
  </w:footnote>
  <w:footnote w:type="continuationSeparator" w:id="0">
    <w:p w14:paraId="63DFCBCD" w14:textId="77777777" w:rsidR="0007497E" w:rsidRDefault="0007497E" w:rsidP="00C926EC">
      <w:r>
        <w:continuationSeparator/>
      </w:r>
    </w:p>
  </w:footnote>
  <w:footnote w:id="1">
    <w:p w14:paraId="3466A81A" w14:textId="060E1DA6" w:rsidR="00F60E14" w:rsidRPr="00E51FE3" w:rsidRDefault="00F60E14" w:rsidP="00F60E14">
      <w:pPr>
        <w:pStyle w:val="FootnoteText"/>
        <w:spacing w:before="0" w:after="120"/>
        <w:jc w:val="both"/>
        <w:rPr>
          <w:rFonts w:ascii="Times New Roman" w:hAnsi="Times New Roman" w:cs="Times New Roman"/>
        </w:rPr>
      </w:pPr>
      <w:r w:rsidRPr="00E51FE3">
        <w:rPr>
          <w:rFonts w:ascii="Times New Roman" w:hAnsi="Times New Roman" w:cs="Times New Roman"/>
        </w:rPr>
        <w:tab/>
      </w:r>
      <w:r w:rsidRPr="001F3948">
        <w:rPr>
          <w:rStyle w:val="FootnoteReference"/>
          <w:rFonts w:ascii="Times New Roman" w:hAnsi="Times New Roman" w:cs="Times New Roman"/>
        </w:rPr>
        <w:footnoteRef/>
      </w:r>
      <w:r w:rsidRPr="001F3948">
        <w:rPr>
          <w:rFonts w:ascii="Times New Roman" w:hAnsi="Times New Roman" w:cs="Times New Roman"/>
        </w:rPr>
        <w:t xml:space="preserve"> In the report, the TCEQ investigator required Goins to begin keeping well records and to submit those records to the regional office.  Staff notes that a violation related to lack of record keeping does not affect the adequacy of water service provided by Goins</w:t>
      </w:r>
      <w:r w:rsidRPr="001F3948">
        <w:rPr>
          <w:rStyle w:val="CommentReference"/>
          <w:rFonts w:ascii="Times New Roman" w:hAnsi="Times New Roman" w:cs="Times New Roman"/>
          <w:sz w:val="20"/>
          <w:szCs w:val="20"/>
        </w:rPr>
        <w:t>.</w:t>
      </w:r>
      <w:r w:rsidR="00C63208" w:rsidRPr="001F3948">
        <w:rPr>
          <w:rStyle w:val="CommentReference"/>
          <w:rFonts w:ascii="Times New Roman" w:hAnsi="Times New Roman" w:cs="Times New Roman"/>
          <w:sz w:val="20"/>
          <w:szCs w:val="20"/>
        </w:rPr>
        <w:t xml:space="preserve"> </w:t>
      </w:r>
      <w:r w:rsidR="002A5EB2" w:rsidRPr="001F3948">
        <w:rPr>
          <w:rFonts w:ascii="Times New Roman" w:hAnsi="Times New Roman" w:cs="Times New Roman"/>
        </w:rPr>
        <w:t>Application, TCEQ Compliance Correspondence Part F: Question 22.</w:t>
      </w:r>
    </w:p>
  </w:footnote>
  <w:footnote w:id="2">
    <w:p w14:paraId="614BC689" w14:textId="2FC4A0A8" w:rsidR="00F60E14" w:rsidRPr="00E51FE3" w:rsidRDefault="00F60E14" w:rsidP="00F60E14">
      <w:pPr>
        <w:pStyle w:val="FootnoteText"/>
        <w:spacing w:before="0" w:after="120"/>
        <w:jc w:val="both"/>
        <w:rPr>
          <w:rFonts w:ascii="Times New Roman" w:hAnsi="Times New Roman" w:cs="Times New Roman"/>
        </w:rPr>
      </w:pPr>
      <w:r w:rsidRPr="00E51FE3">
        <w:rPr>
          <w:rFonts w:ascii="Times New Roman" w:hAnsi="Times New Roman" w:cs="Times New Roman"/>
        </w:rPr>
        <w:tab/>
      </w:r>
      <w:r w:rsidRPr="00E51FE3">
        <w:rPr>
          <w:rStyle w:val="FootnoteReference"/>
          <w:rFonts w:ascii="Times New Roman" w:hAnsi="Times New Roman" w:cs="Times New Roman"/>
        </w:rPr>
        <w:footnoteRef/>
      </w:r>
      <w:r w:rsidRPr="00E51FE3">
        <w:rPr>
          <w:rFonts w:ascii="Times New Roman" w:hAnsi="Times New Roman" w:cs="Times New Roman"/>
        </w:rPr>
        <w:t xml:space="preserve"> </w:t>
      </w:r>
      <w:r w:rsidR="00C30BC3" w:rsidRPr="00C63208">
        <w:rPr>
          <w:rFonts w:ascii="Times New Roman" w:hAnsi="Times New Roman" w:cs="Times New Roman"/>
          <w:i/>
          <w:iCs/>
        </w:rPr>
        <w:t>See</w:t>
      </w:r>
      <w:r w:rsidR="00C30BC3">
        <w:rPr>
          <w:rFonts w:ascii="Times New Roman" w:hAnsi="Times New Roman" w:cs="Times New Roman"/>
        </w:rPr>
        <w:t>,</w:t>
      </w:r>
      <w:r w:rsidR="00C63208">
        <w:rPr>
          <w:rFonts w:ascii="Times New Roman" w:hAnsi="Times New Roman" w:cs="Times New Roman"/>
        </w:rPr>
        <w:t xml:space="preserve"> e.g., </w:t>
      </w:r>
      <w:r w:rsidRPr="00C63208">
        <w:rPr>
          <w:rFonts w:ascii="Times New Roman" w:hAnsi="Times New Roman" w:cs="Times New Roman"/>
        </w:rPr>
        <w:t>Application</w:t>
      </w:r>
      <w:r w:rsidR="00C63208">
        <w:rPr>
          <w:rFonts w:ascii="Times New Roman" w:hAnsi="Times New Roman" w:cs="Times New Roman"/>
        </w:rPr>
        <w:t xml:space="preserve"> at</w:t>
      </w:r>
      <w:r w:rsidRPr="00E51FE3">
        <w:rPr>
          <w:rFonts w:ascii="Times New Roman" w:hAnsi="Times New Roman" w:cs="Times New Roman"/>
        </w:rPr>
        <w:t xml:space="preserve"> page 9 of 20.</w:t>
      </w:r>
    </w:p>
  </w:footnote>
  <w:footnote w:id="3">
    <w:p w14:paraId="330C4E7C" w14:textId="6ABE0ADC" w:rsidR="00F60E14" w:rsidRPr="00E51FE3" w:rsidRDefault="00F60E14" w:rsidP="00F60E14">
      <w:pPr>
        <w:pStyle w:val="FootnoteText"/>
        <w:spacing w:before="0" w:after="120"/>
        <w:jc w:val="both"/>
        <w:rPr>
          <w:rFonts w:ascii="Times New Roman" w:hAnsi="Times New Roman" w:cs="Times New Roman"/>
        </w:rPr>
      </w:pPr>
      <w:r w:rsidRPr="00E51FE3">
        <w:rPr>
          <w:rFonts w:ascii="Times New Roman" w:hAnsi="Times New Roman" w:cs="Times New Roman"/>
        </w:rPr>
        <w:tab/>
      </w:r>
      <w:r w:rsidRPr="00E51FE3">
        <w:rPr>
          <w:rStyle w:val="FootnoteReference"/>
          <w:rFonts w:ascii="Times New Roman" w:hAnsi="Times New Roman" w:cs="Times New Roman"/>
        </w:rPr>
        <w:footnoteRef/>
      </w:r>
      <w:r w:rsidRPr="00E51FE3">
        <w:rPr>
          <w:rFonts w:ascii="Times New Roman" w:hAnsi="Times New Roman" w:cs="Times New Roman"/>
        </w:rPr>
        <w:t xml:space="preserve"> </w:t>
      </w:r>
      <w:r w:rsidR="00C63208" w:rsidRPr="00B201A6">
        <w:rPr>
          <w:rFonts w:ascii="Times New Roman" w:hAnsi="Times New Roman" w:cs="Times New Roman"/>
          <w:i/>
          <w:iCs/>
        </w:rPr>
        <w:t>See</w:t>
      </w:r>
      <w:r w:rsidR="00C63208">
        <w:rPr>
          <w:rFonts w:ascii="Times New Roman" w:hAnsi="Times New Roman" w:cs="Times New Roman"/>
        </w:rPr>
        <w:t xml:space="preserve">, e.g., </w:t>
      </w:r>
      <w:r w:rsidRPr="00E51FE3">
        <w:rPr>
          <w:rFonts w:ascii="Times New Roman" w:hAnsi="Times New Roman" w:cs="Times New Roman"/>
        </w:rPr>
        <w:t>Application, TCEQ Compliance Correspondence Part F: Question 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6494D" w14:textId="77777777" w:rsidR="004327E1" w:rsidRPr="00486D8C" w:rsidRDefault="004327E1" w:rsidP="004327E1">
    <w:pPr>
      <w:pStyle w:val="Header"/>
      <w:spacing w:line="276" w:lineRule="auto"/>
      <w:jc w:val="center"/>
      <w:rPr>
        <w:rFonts w:ascii="Times New Roman" w:hAnsi="Times New Roman" w:cs="Times New Roman"/>
        <w:b/>
        <w:i/>
        <w:sz w:val="38"/>
      </w:rPr>
    </w:pPr>
    <w:r w:rsidRPr="00486D8C">
      <w:rPr>
        <w:rFonts w:ascii="Times New Roman" w:hAnsi="Times New Roman" w:cs="Times New Roman"/>
        <w:b/>
        <w:i/>
        <w:sz w:val="38"/>
      </w:rPr>
      <w:t>Public Utility Commission of Texas</w:t>
    </w:r>
  </w:p>
  <w:p w14:paraId="65A6F5FF" w14:textId="77777777" w:rsidR="004327E1" w:rsidRPr="00486D8C" w:rsidRDefault="004327E1" w:rsidP="004327E1">
    <w:pPr>
      <w:pStyle w:val="Header"/>
      <w:tabs>
        <w:tab w:val="clear" w:pos="4320"/>
        <w:tab w:val="left" w:pos="1800"/>
        <w:tab w:val="left" w:pos="6840"/>
      </w:tabs>
      <w:spacing w:before="120" w:after="120" w:line="276" w:lineRule="auto"/>
      <w:jc w:val="center"/>
      <w:rPr>
        <w:rFonts w:ascii="Times New Roman" w:hAnsi="Times New Roman" w:cs="Times New Roman"/>
        <w:b/>
        <w:sz w:val="12"/>
      </w:rPr>
    </w:pPr>
    <w:r w:rsidRPr="00486D8C">
      <w:rPr>
        <w:rFonts w:ascii="Times New Roman" w:hAnsi="Times New Roman" w:cs="Times New Roman"/>
        <w:b/>
        <w:sz w:val="12"/>
        <w:u w:val="single"/>
      </w:rPr>
      <w:t>________________________________________________________________________________________</w:t>
    </w:r>
  </w:p>
  <w:p w14:paraId="51382E79" w14:textId="77777777" w:rsidR="004327E1" w:rsidRPr="00486D8C" w:rsidRDefault="004327E1" w:rsidP="004327E1">
    <w:pPr>
      <w:pStyle w:val="Header"/>
      <w:tabs>
        <w:tab w:val="left" w:pos="1980"/>
        <w:tab w:val="left" w:pos="6750"/>
      </w:tabs>
      <w:spacing w:line="276" w:lineRule="auto"/>
      <w:jc w:val="center"/>
      <w:rPr>
        <w:rFonts w:ascii="Times New Roman" w:hAnsi="Times New Roman" w:cs="Times New Roman"/>
        <w:b/>
        <w:sz w:val="38"/>
      </w:rPr>
    </w:pPr>
    <w:r w:rsidRPr="00486D8C">
      <w:rPr>
        <w:rFonts w:ascii="Times New Roman" w:hAnsi="Times New Roman" w:cs="Times New Roman"/>
        <w:b/>
        <w:sz w:val="38"/>
      </w:rPr>
      <w:t>Memorandum</w:t>
    </w:r>
  </w:p>
  <w:p w14:paraId="735BB4F1" w14:textId="77777777" w:rsidR="004327E1" w:rsidRDefault="00432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8D74368"/>
    <w:multiLevelType w:val="multilevel"/>
    <w:tmpl w:val="52C82272"/>
    <w:lvl w:ilvl="0">
      <w:start w:val="1"/>
      <w:numFmt w:val="decimal"/>
      <w:lvlText w:val="%1."/>
      <w:lvlJc w:val="left"/>
      <w:pPr>
        <w:ind w:left="360" w:hanging="360"/>
      </w:pPr>
    </w:lvl>
    <w:lvl w:ilvl="1">
      <w:start w:val="1"/>
      <w:numFmt w:val="decimal"/>
      <w:lvlText w:val="%1.%2."/>
      <w:lvlJc w:val="left"/>
      <w:pPr>
        <w:ind w:left="792" w:hanging="432"/>
      </w:pPr>
      <w:rPr>
        <w:b w:val="0"/>
        <w:bCs/>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D73304"/>
    <w:multiLevelType w:val="hybridMultilevel"/>
    <w:tmpl w:val="D326DD7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7"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BC6BD5"/>
    <w:multiLevelType w:val="hybridMultilevel"/>
    <w:tmpl w:val="183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3"/>
  </w:num>
  <w:num w:numId="9">
    <w:abstractNumId w:val="38"/>
  </w:num>
  <w:num w:numId="10">
    <w:abstractNumId w:val="35"/>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4"/>
  </w:num>
  <w:num w:numId="16">
    <w:abstractNumId w:val="40"/>
  </w:num>
  <w:num w:numId="17">
    <w:abstractNumId w:val="1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0"/>
  </w:num>
  <w:num w:numId="21">
    <w:abstractNumId w:val="32"/>
  </w:num>
  <w:num w:numId="22">
    <w:abstractNumId w:val="45"/>
  </w:num>
  <w:num w:numId="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41"/>
  </w:num>
  <w:num w:numId="26">
    <w:abstractNumId w:val="22"/>
  </w:num>
  <w:num w:numId="27">
    <w:abstractNumId w:val="24"/>
  </w:num>
  <w:num w:numId="28">
    <w:abstractNumId w:val="12"/>
  </w:num>
  <w:num w:numId="29">
    <w:abstractNumId w:val="42"/>
  </w:num>
  <w:num w:numId="30">
    <w:abstractNumId w:val="36"/>
  </w:num>
  <w:num w:numId="31">
    <w:abstractNumId w:val="13"/>
  </w:num>
  <w:num w:numId="32">
    <w:abstractNumId w:val="31"/>
  </w:num>
  <w:num w:numId="33">
    <w:abstractNumId w:val="19"/>
  </w:num>
  <w:num w:numId="34">
    <w:abstractNumId w:val="18"/>
  </w:num>
  <w:num w:numId="35">
    <w:abstractNumId w:val="18"/>
  </w:num>
  <w:num w:numId="36">
    <w:abstractNumId w:val="30"/>
  </w:num>
  <w:num w:numId="37">
    <w:abstractNumId w:val="17"/>
  </w:num>
  <w:num w:numId="38">
    <w:abstractNumId w:val="3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9"/>
  </w:num>
  <w:num w:numId="44">
    <w:abstractNumId w:val="15"/>
  </w:num>
  <w:num w:numId="45">
    <w:abstractNumId w:val="37"/>
  </w:num>
  <w:num w:numId="46">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isplayBackgroundShap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011"/>
    <w:rsid w:val="000000FE"/>
    <w:rsid w:val="0000012E"/>
    <w:rsid w:val="00001A50"/>
    <w:rsid w:val="000027D4"/>
    <w:rsid w:val="00002922"/>
    <w:rsid w:val="000049A0"/>
    <w:rsid w:val="00005709"/>
    <w:rsid w:val="00005F0F"/>
    <w:rsid w:val="0000638B"/>
    <w:rsid w:val="00006ED6"/>
    <w:rsid w:val="00013DA0"/>
    <w:rsid w:val="00014A2B"/>
    <w:rsid w:val="000256EC"/>
    <w:rsid w:val="000258A7"/>
    <w:rsid w:val="00025EFC"/>
    <w:rsid w:val="00031CD2"/>
    <w:rsid w:val="000333B2"/>
    <w:rsid w:val="00034727"/>
    <w:rsid w:val="0003775C"/>
    <w:rsid w:val="00040328"/>
    <w:rsid w:val="00042C46"/>
    <w:rsid w:val="00043C47"/>
    <w:rsid w:val="00043D5A"/>
    <w:rsid w:val="00044785"/>
    <w:rsid w:val="00047167"/>
    <w:rsid w:val="00047E19"/>
    <w:rsid w:val="00047FC0"/>
    <w:rsid w:val="00051B7F"/>
    <w:rsid w:val="00052459"/>
    <w:rsid w:val="000551B3"/>
    <w:rsid w:val="00055469"/>
    <w:rsid w:val="00056923"/>
    <w:rsid w:val="00057500"/>
    <w:rsid w:val="00062511"/>
    <w:rsid w:val="00062DFD"/>
    <w:rsid w:val="000639A1"/>
    <w:rsid w:val="00064CD9"/>
    <w:rsid w:val="00066644"/>
    <w:rsid w:val="0006694D"/>
    <w:rsid w:val="0006697C"/>
    <w:rsid w:val="000675F5"/>
    <w:rsid w:val="00070324"/>
    <w:rsid w:val="00070BD9"/>
    <w:rsid w:val="0007497E"/>
    <w:rsid w:val="00077B33"/>
    <w:rsid w:val="00077D94"/>
    <w:rsid w:val="00084350"/>
    <w:rsid w:val="00086BD9"/>
    <w:rsid w:val="00086E6A"/>
    <w:rsid w:val="0008714E"/>
    <w:rsid w:val="00087BD2"/>
    <w:rsid w:val="00092422"/>
    <w:rsid w:val="00093720"/>
    <w:rsid w:val="00094573"/>
    <w:rsid w:val="00097D34"/>
    <w:rsid w:val="000A07B7"/>
    <w:rsid w:val="000A0EF9"/>
    <w:rsid w:val="000A15BF"/>
    <w:rsid w:val="000A17A4"/>
    <w:rsid w:val="000A18F6"/>
    <w:rsid w:val="000A1CBD"/>
    <w:rsid w:val="000A2D54"/>
    <w:rsid w:val="000A3962"/>
    <w:rsid w:val="000A47AD"/>
    <w:rsid w:val="000A53B9"/>
    <w:rsid w:val="000B2089"/>
    <w:rsid w:val="000B398C"/>
    <w:rsid w:val="000B74A7"/>
    <w:rsid w:val="000C1846"/>
    <w:rsid w:val="000C64A0"/>
    <w:rsid w:val="000D26F9"/>
    <w:rsid w:val="000D3B74"/>
    <w:rsid w:val="000D3F9C"/>
    <w:rsid w:val="000D68AB"/>
    <w:rsid w:val="000E2AF0"/>
    <w:rsid w:val="000F17E2"/>
    <w:rsid w:val="000F2692"/>
    <w:rsid w:val="000F4F03"/>
    <w:rsid w:val="000F7FA2"/>
    <w:rsid w:val="00104A98"/>
    <w:rsid w:val="00104EC9"/>
    <w:rsid w:val="0010647F"/>
    <w:rsid w:val="00106C02"/>
    <w:rsid w:val="0010725E"/>
    <w:rsid w:val="00112304"/>
    <w:rsid w:val="0011374B"/>
    <w:rsid w:val="001137F2"/>
    <w:rsid w:val="00113A92"/>
    <w:rsid w:val="001147A8"/>
    <w:rsid w:val="0011513D"/>
    <w:rsid w:val="00116413"/>
    <w:rsid w:val="001178AF"/>
    <w:rsid w:val="001221C8"/>
    <w:rsid w:val="00124404"/>
    <w:rsid w:val="00135A1F"/>
    <w:rsid w:val="0013669F"/>
    <w:rsid w:val="001403D5"/>
    <w:rsid w:val="001409F7"/>
    <w:rsid w:val="00144CA3"/>
    <w:rsid w:val="0015025F"/>
    <w:rsid w:val="00150F01"/>
    <w:rsid w:val="00154C05"/>
    <w:rsid w:val="00154C2A"/>
    <w:rsid w:val="00155CA3"/>
    <w:rsid w:val="00161027"/>
    <w:rsid w:val="00161999"/>
    <w:rsid w:val="00161C68"/>
    <w:rsid w:val="00163AE3"/>
    <w:rsid w:val="00167F1D"/>
    <w:rsid w:val="00170487"/>
    <w:rsid w:val="00173625"/>
    <w:rsid w:val="001769E4"/>
    <w:rsid w:val="00176D26"/>
    <w:rsid w:val="00182E57"/>
    <w:rsid w:val="001839AC"/>
    <w:rsid w:val="001849F8"/>
    <w:rsid w:val="00185F46"/>
    <w:rsid w:val="001863FC"/>
    <w:rsid w:val="00195D56"/>
    <w:rsid w:val="0019656B"/>
    <w:rsid w:val="001A0C95"/>
    <w:rsid w:val="001A1DAE"/>
    <w:rsid w:val="001A6EA7"/>
    <w:rsid w:val="001A7C44"/>
    <w:rsid w:val="001B0379"/>
    <w:rsid w:val="001B037A"/>
    <w:rsid w:val="001B277E"/>
    <w:rsid w:val="001B4407"/>
    <w:rsid w:val="001C5305"/>
    <w:rsid w:val="001D3CF8"/>
    <w:rsid w:val="001D3F92"/>
    <w:rsid w:val="001E0691"/>
    <w:rsid w:val="001E4E5D"/>
    <w:rsid w:val="001E5F2E"/>
    <w:rsid w:val="001F2FFD"/>
    <w:rsid w:val="001F3948"/>
    <w:rsid w:val="001F4F7A"/>
    <w:rsid w:val="001F5B16"/>
    <w:rsid w:val="00200609"/>
    <w:rsid w:val="00201497"/>
    <w:rsid w:val="00202D3C"/>
    <w:rsid w:val="00203027"/>
    <w:rsid w:val="002034DB"/>
    <w:rsid w:val="00204E61"/>
    <w:rsid w:val="0020647D"/>
    <w:rsid w:val="002074F8"/>
    <w:rsid w:val="00207D78"/>
    <w:rsid w:val="00210784"/>
    <w:rsid w:val="00213082"/>
    <w:rsid w:val="00214BDB"/>
    <w:rsid w:val="00215166"/>
    <w:rsid w:val="0021630D"/>
    <w:rsid w:val="00220C97"/>
    <w:rsid w:val="002217A8"/>
    <w:rsid w:val="00226300"/>
    <w:rsid w:val="00231847"/>
    <w:rsid w:val="00234AD3"/>
    <w:rsid w:val="00235408"/>
    <w:rsid w:val="002358B8"/>
    <w:rsid w:val="002442F5"/>
    <w:rsid w:val="00244F4E"/>
    <w:rsid w:val="00246708"/>
    <w:rsid w:val="00247A3F"/>
    <w:rsid w:val="002503F7"/>
    <w:rsid w:val="00250ECA"/>
    <w:rsid w:val="002516A8"/>
    <w:rsid w:val="002523EB"/>
    <w:rsid w:val="00253B4E"/>
    <w:rsid w:val="00254774"/>
    <w:rsid w:val="00254E40"/>
    <w:rsid w:val="0026111F"/>
    <w:rsid w:val="00261265"/>
    <w:rsid w:val="002616E6"/>
    <w:rsid w:val="00267310"/>
    <w:rsid w:val="002677C4"/>
    <w:rsid w:val="00267AA1"/>
    <w:rsid w:val="00270D56"/>
    <w:rsid w:val="00273C8F"/>
    <w:rsid w:val="00273D08"/>
    <w:rsid w:val="00276523"/>
    <w:rsid w:val="00276F9A"/>
    <w:rsid w:val="002808EB"/>
    <w:rsid w:val="00281A44"/>
    <w:rsid w:val="00281AC9"/>
    <w:rsid w:val="00283B89"/>
    <w:rsid w:val="00283E12"/>
    <w:rsid w:val="00284F56"/>
    <w:rsid w:val="0028747B"/>
    <w:rsid w:val="00292BD0"/>
    <w:rsid w:val="00293A87"/>
    <w:rsid w:val="00294BE3"/>
    <w:rsid w:val="00296673"/>
    <w:rsid w:val="00297D38"/>
    <w:rsid w:val="002A053B"/>
    <w:rsid w:val="002A0563"/>
    <w:rsid w:val="002A112E"/>
    <w:rsid w:val="002A3946"/>
    <w:rsid w:val="002A5EB2"/>
    <w:rsid w:val="002A6D5E"/>
    <w:rsid w:val="002B0261"/>
    <w:rsid w:val="002B0A87"/>
    <w:rsid w:val="002B6124"/>
    <w:rsid w:val="002C0AA2"/>
    <w:rsid w:val="002C0DA0"/>
    <w:rsid w:val="002C4F7F"/>
    <w:rsid w:val="002C69EC"/>
    <w:rsid w:val="002D0966"/>
    <w:rsid w:val="002D34F2"/>
    <w:rsid w:val="002D4273"/>
    <w:rsid w:val="002D4E2D"/>
    <w:rsid w:val="002D6623"/>
    <w:rsid w:val="002D7A13"/>
    <w:rsid w:val="002E0B7B"/>
    <w:rsid w:val="002E118B"/>
    <w:rsid w:val="002E25F5"/>
    <w:rsid w:val="002E4A97"/>
    <w:rsid w:val="002E55A0"/>
    <w:rsid w:val="002F0C5D"/>
    <w:rsid w:val="002F2873"/>
    <w:rsid w:val="002F305B"/>
    <w:rsid w:val="002F4CF4"/>
    <w:rsid w:val="002F5A8E"/>
    <w:rsid w:val="00300CC3"/>
    <w:rsid w:val="00302032"/>
    <w:rsid w:val="003023F3"/>
    <w:rsid w:val="0030248E"/>
    <w:rsid w:val="00302C75"/>
    <w:rsid w:val="003032D4"/>
    <w:rsid w:val="00305FF2"/>
    <w:rsid w:val="00307E8A"/>
    <w:rsid w:val="003101B9"/>
    <w:rsid w:val="003122DE"/>
    <w:rsid w:val="00312F8A"/>
    <w:rsid w:val="00313930"/>
    <w:rsid w:val="00313E8D"/>
    <w:rsid w:val="0031483B"/>
    <w:rsid w:val="00314A57"/>
    <w:rsid w:val="0031568E"/>
    <w:rsid w:val="00317DBD"/>
    <w:rsid w:val="00321531"/>
    <w:rsid w:val="00321824"/>
    <w:rsid w:val="00322A57"/>
    <w:rsid w:val="00324E8C"/>
    <w:rsid w:val="003276BA"/>
    <w:rsid w:val="003346EE"/>
    <w:rsid w:val="00336198"/>
    <w:rsid w:val="00337099"/>
    <w:rsid w:val="0033779F"/>
    <w:rsid w:val="00340D87"/>
    <w:rsid w:val="003410FB"/>
    <w:rsid w:val="00342BF0"/>
    <w:rsid w:val="00343BA2"/>
    <w:rsid w:val="00343D4B"/>
    <w:rsid w:val="00343F13"/>
    <w:rsid w:val="003446F9"/>
    <w:rsid w:val="003473E0"/>
    <w:rsid w:val="00351FD0"/>
    <w:rsid w:val="0035288F"/>
    <w:rsid w:val="003566C9"/>
    <w:rsid w:val="00356D10"/>
    <w:rsid w:val="0035720D"/>
    <w:rsid w:val="00361F0B"/>
    <w:rsid w:val="00366182"/>
    <w:rsid w:val="0037508C"/>
    <w:rsid w:val="00376ED7"/>
    <w:rsid w:val="00380E77"/>
    <w:rsid w:val="003817E2"/>
    <w:rsid w:val="00381E1F"/>
    <w:rsid w:val="00383B4B"/>
    <w:rsid w:val="00391532"/>
    <w:rsid w:val="00392073"/>
    <w:rsid w:val="00392B2C"/>
    <w:rsid w:val="00393C75"/>
    <w:rsid w:val="0039525C"/>
    <w:rsid w:val="003958C0"/>
    <w:rsid w:val="003A28A4"/>
    <w:rsid w:val="003A2E66"/>
    <w:rsid w:val="003A3833"/>
    <w:rsid w:val="003A4A9F"/>
    <w:rsid w:val="003A78CD"/>
    <w:rsid w:val="003A7C43"/>
    <w:rsid w:val="003A7F90"/>
    <w:rsid w:val="003B1BCE"/>
    <w:rsid w:val="003B340C"/>
    <w:rsid w:val="003B41DF"/>
    <w:rsid w:val="003B6ADE"/>
    <w:rsid w:val="003C2E13"/>
    <w:rsid w:val="003C3A0B"/>
    <w:rsid w:val="003C4332"/>
    <w:rsid w:val="003C4E1B"/>
    <w:rsid w:val="003C5ECB"/>
    <w:rsid w:val="003C7F68"/>
    <w:rsid w:val="003D129D"/>
    <w:rsid w:val="003D1653"/>
    <w:rsid w:val="003D4C13"/>
    <w:rsid w:val="003E3892"/>
    <w:rsid w:val="003E4644"/>
    <w:rsid w:val="003E466F"/>
    <w:rsid w:val="003E47F8"/>
    <w:rsid w:val="003E4EF3"/>
    <w:rsid w:val="003E75C2"/>
    <w:rsid w:val="003F0EC3"/>
    <w:rsid w:val="003F4FC5"/>
    <w:rsid w:val="003F5ABB"/>
    <w:rsid w:val="003F66A9"/>
    <w:rsid w:val="003F7352"/>
    <w:rsid w:val="003F7D59"/>
    <w:rsid w:val="004048C0"/>
    <w:rsid w:val="00405AE9"/>
    <w:rsid w:val="00411B2F"/>
    <w:rsid w:val="00413B1B"/>
    <w:rsid w:val="004176E5"/>
    <w:rsid w:val="00422C53"/>
    <w:rsid w:val="004243B0"/>
    <w:rsid w:val="00425BE7"/>
    <w:rsid w:val="00426D11"/>
    <w:rsid w:val="00431F19"/>
    <w:rsid w:val="0043205A"/>
    <w:rsid w:val="004327E1"/>
    <w:rsid w:val="00432CBE"/>
    <w:rsid w:val="004341FD"/>
    <w:rsid w:val="00434350"/>
    <w:rsid w:val="00434B21"/>
    <w:rsid w:val="00437D81"/>
    <w:rsid w:val="00437FDF"/>
    <w:rsid w:val="004406C2"/>
    <w:rsid w:val="00445E78"/>
    <w:rsid w:val="00446204"/>
    <w:rsid w:val="00446C77"/>
    <w:rsid w:val="00446D7E"/>
    <w:rsid w:val="004472FE"/>
    <w:rsid w:val="00450FDE"/>
    <w:rsid w:val="00451B06"/>
    <w:rsid w:val="00455630"/>
    <w:rsid w:val="00457DA3"/>
    <w:rsid w:val="00460F0E"/>
    <w:rsid w:val="0046308C"/>
    <w:rsid w:val="0046448A"/>
    <w:rsid w:val="004645CA"/>
    <w:rsid w:val="004647C4"/>
    <w:rsid w:val="0047263A"/>
    <w:rsid w:val="00480D5B"/>
    <w:rsid w:val="00482C73"/>
    <w:rsid w:val="00483125"/>
    <w:rsid w:val="00483336"/>
    <w:rsid w:val="004834DA"/>
    <w:rsid w:val="00487AF0"/>
    <w:rsid w:val="00490D31"/>
    <w:rsid w:val="00490F08"/>
    <w:rsid w:val="0049609F"/>
    <w:rsid w:val="004A2718"/>
    <w:rsid w:val="004A42F2"/>
    <w:rsid w:val="004A509E"/>
    <w:rsid w:val="004A5CA7"/>
    <w:rsid w:val="004B04DA"/>
    <w:rsid w:val="004B07F5"/>
    <w:rsid w:val="004B2B40"/>
    <w:rsid w:val="004B660B"/>
    <w:rsid w:val="004C576C"/>
    <w:rsid w:val="004D0A5A"/>
    <w:rsid w:val="004D1ABA"/>
    <w:rsid w:val="004D2CA6"/>
    <w:rsid w:val="004D5ECA"/>
    <w:rsid w:val="004E2F06"/>
    <w:rsid w:val="004F4705"/>
    <w:rsid w:val="004F53A2"/>
    <w:rsid w:val="004F6233"/>
    <w:rsid w:val="00501E9C"/>
    <w:rsid w:val="00502E43"/>
    <w:rsid w:val="00502E46"/>
    <w:rsid w:val="00506667"/>
    <w:rsid w:val="00506A66"/>
    <w:rsid w:val="00506CE1"/>
    <w:rsid w:val="00510B37"/>
    <w:rsid w:val="00511500"/>
    <w:rsid w:val="00511912"/>
    <w:rsid w:val="00516197"/>
    <w:rsid w:val="00516C5A"/>
    <w:rsid w:val="00517BAE"/>
    <w:rsid w:val="005214A1"/>
    <w:rsid w:val="00527C38"/>
    <w:rsid w:val="00532733"/>
    <w:rsid w:val="00533171"/>
    <w:rsid w:val="00533603"/>
    <w:rsid w:val="00536409"/>
    <w:rsid w:val="005411D3"/>
    <w:rsid w:val="005457B4"/>
    <w:rsid w:val="005464F5"/>
    <w:rsid w:val="00550759"/>
    <w:rsid w:val="00550CE8"/>
    <w:rsid w:val="0055212A"/>
    <w:rsid w:val="005643A5"/>
    <w:rsid w:val="00564F08"/>
    <w:rsid w:val="00567A97"/>
    <w:rsid w:val="00570B03"/>
    <w:rsid w:val="00572A3B"/>
    <w:rsid w:val="0057418A"/>
    <w:rsid w:val="005742F9"/>
    <w:rsid w:val="00574FA5"/>
    <w:rsid w:val="0057650C"/>
    <w:rsid w:val="0057671C"/>
    <w:rsid w:val="00577134"/>
    <w:rsid w:val="0058435F"/>
    <w:rsid w:val="005858CD"/>
    <w:rsid w:val="00586134"/>
    <w:rsid w:val="00587262"/>
    <w:rsid w:val="005873FD"/>
    <w:rsid w:val="0059163C"/>
    <w:rsid w:val="00591B48"/>
    <w:rsid w:val="00591C07"/>
    <w:rsid w:val="00595011"/>
    <w:rsid w:val="0059593E"/>
    <w:rsid w:val="005A6D58"/>
    <w:rsid w:val="005B0DAD"/>
    <w:rsid w:val="005B1E6D"/>
    <w:rsid w:val="005B4E0F"/>
    <w:rsid w:val="005B5FB6"/>
    <w:rsid w:val="005B6F88"/>
    <w:rsid w:val="005C0516"/>
    <w:rsid w:val="005C0CB1"/>
    <w:rsid w:val="005C1D58"/>
    <w:rsid w:val="005C2CDE"/>
    <w:rsid w:val="005C40D9"/>
    <w:rsid w:val="005C4666"/>
    <w:rsid w:val="005C48DD"/>
    <w:rsid w:val="005C5DFC"/>
    <w:rsid w:val="005C6AE3"/>
    <w:rsid w:val="005D2F78"/>
    <w:rsid w:val="005D3942"/>
    <w:rsid w:val="005D3B8C"/>
    <w:rsid w:val="005D41FF"/>
    <w:rsid w:val="005D5817"/>
    <w:rsid w:val="005D7A36"/>
    <w:rsid w:val="005E0D4B"/>
    <w:rsid w:val="005E1D64"/>
    <w:rsid w:val="005E3B15"/>
    <w:rsid w:val="005F0149"/>
    <w:rsid w:val="005F0756"/>
    <w:rsid w:val="005F07A3"/>
    <w:rsid w:val="005F337F"/>
    <w:rsid w:val="005F41CC"/>
    <w:rsid w:val="005F7EEF"/>
    <w:rsid w:val="00600D96"/>
    <w:rsid w:val="00602C27"/>
    <w:rsid w:val="00603121"/>
    <w:rsid w:val="00603A2D"/>
    <w:rsid w:val="0060664D"/>
    <w:rsid w:val="00607941"/>
    <w:rsid w:val="00610DF4"/>
    <w:rsid w:val="006116E8"/>
    <w:rsid w:val="006128AB"/>
    <w:rsid w:val="00614330"/>
    <w:rsid w:val="00614BB6"/>
    <w:rsid w:val="00614C3C"/>
    <w:rsid w:val="00615FDC"/>
    <w:rsid w:val="00620C18"/>
    <w:rsid w:val="006210C8"/>
    <w:rsid w:val="00622064"/>
    <w:rsid w:val="0062396E"/>
    <w:rsid w:val="00625823"/>
    <w:rsid w:val="00626428"/>
    <w:rsid w:val="00632BA0"/>
    <w:rsid w:val="00632D65"/>
    <w:rsid w:val="006335CB"/>
    <w:rsid w:val="006348FC"/>
    <w:rsid w:val="0063495D"/>
    <w:rsid w:val="00634C67"/>
    <w:rsid w:val="0064020D"/>
    <w:rsid w:val="00640A48"/>
    <w:rsid w:val="006419B3"/>
    <w:rsid w:val="00641ABC"/>
    <w:rsid w:val="00642054"/>
    <w:rsid w:val="00642777"/>
    <w:rsid w:val="00642B45"/>
    <w:rsid w:val="00642E89"/>
    <w:rsid w:val="00643F7E"/>
    <w:rsid w:val="00644BB5"/>
    <w:rsid w:val="00644CB2"/>
    <w:rsid w:val="006453F2"/>
    <w:rsid w:val="00647502"/>
    <w:rsid w:val="006476FD"/>
    <w:rsid w:val="00650786"/>
    <w:rsid w:val="0065525B"/>
    <w:rsid w:val="006610FE"/>
    <w:rsid w:val="0066313F"/>
    <w:rsid w:val="0066355D"/>
    <w:rsid w:val="006656C1"/>
    <w:rsid w:val="00671853"/>
    <w:rsid w:val="006730D8"/>
    <w:rsid w:val="00673310"/>
    <w:rsid w:val="00673935"/>
    <w:rsid w:val="006757D1"/>
    <w:rsid w:val="006761FF"/>
    <w:rsid w:val="006856C9"/>
    <w:rsid w:val="0068573E"/>
    <w:rsid w:val="00690B70"/>
    <w:rsid w:val="00691657"/>
    <w:rsid w:val="00693C6F"/>
    <w:rsid w:val="00693F44"/>
    <w:rsid w:val="006965B0"/>
    <w:rsid w:val="006A0AE6"/>
    <w:rsid w:val="006A23E3"/>
    <w:rsid w:val="006A35C3"/>
    <w:rsid w:val="006B225F"/>
    <w:rsid w:val="006B34D3"/>
    <w:rsid w:val="006B3669"/>
    <w:rsid w:val="006B42BE"/>
    <w:rsid w:val="006B5F72"/>
    <w:rsid w:val="006C2028"/>
    <w:rsid w:val="006C515E"/>
    <w:rsid w:val="006C5512"/>
    <w:rsid w:val="006C6CEB"/>
    <w:rsid w:val="006C6E65"/>
    <w:rsid w:val="006C72CC"/>
    <w:rsid w:val="006C74A5"/>
    <w:rsid w:val="006C7ECD"/>
    <w:rsid w:val="006D2598"/>
    <w:rsid w:val="006D3DCF"/>
    <w:rsid w:val="006D6106"/>
    <w:rsid w:val="006D6881"/>
    <w:rsid w:val="006D7909"/>
    <w:rsid w:val="006E04C0"/>
    <w:rsid w:val="006E330E"/>
    <w:rsid w:val="006E44E9"/>
    <w:rsid w:val="006E4543"/>
    <w:rsid w:val="006E5AC9"/>
    <w:rsid w:val="006F02A7"/>
    <w:rsid w:val="006F21E2"/>
    <w:rsid w:val="00700FAC"/>
    <w:rsid w:val="0070271C"/>
    <w:rsid w:val="00702D78"/>
    <w:rsid w:val="0070479B"/>
    <w:rsid w:val="00704DD3"/>
    <w:rsid w:val="00705485"/>
    <w:rsid w:val="00705AE2"/>
    <w:rsid w:val="00706788"/>
    <w:rsid w:val="007111EA"/>
    <w:rsid w:val="007146BB"/>
    <w:rsid w:val="00716F0E"/>
    <w:rsid w:val="00721ED2"/>
    <w:rsid w:val="00722324"/>
    <w:rsid w:val="0072249E"/>
    <w:rsid w:val="00724A5D"/>
    <w:rsid w:val="007251F6"/>
    <w:rsid w:val="0072554E"/>
    <w:rsid w:val="00725C50"/>
    <w:rsid w:val="0072620D"/>
    <w:rsid w:val="007276DD"/>
    <w:rsid w:val="00727F1C"/>
    <w:rsid w:val="00732647"/>
    <w:rsid w:val="007353B4"/>
    <w:rsid w:val="00736117"/>
    <w:rsid w:val="00742385"/>
    <w:rsid w:val="007432EF"/>
    <w:rsid w:val="00744E59"/>
    <w:rsid w:val="00746472"/>
    <w:rsid w:val="007509A8"/>
    <w:rsid w:val="007511F5"/>
    <w:rsid w:val="00752DFA"/>
    <w:rsid w:val="00755CD3"/>
    <w:rsid w:val="0075745D"/>
    <w:rsid w:val="0076133E"/>
    <w:rsid w:val="00763595"/>
    <w:rsid w:val="00763AAE"/>
    <w:rsid w:val="00765E9A"/>
    <w:rsid w:val="00766D68"/>
    <w:rsid w:val="00767B33"/>
    <w:rsid w:val="00774A9D"/>
    <w:rsid w:val="007750CC"/>
    <w:rsid w:val="00775118"/>
    <w:rsid w:val="0078148F"/>
    <w:rsid w:val="00781C91"/>
    <w:rsid w:val="00783B8F"/>
    <w:rsid w:val="0078485C"/>
    <w:rsid w:val="007858F1"/>
    <w:rsid w:val="0078732F"/>
    <w:rsid w:val="00790228"/>
    <w:rsid w:val="007903F2"/>
    <w:rsid w:val="00793BD7"/>
    <w:rsid w:val="007964D2"/>
    <w:rsid w:val="007977DA"/>
    <w:rsid w:val="0079795B"/>
    <w:rsid w:val="007A4551"/>
    <w:rsid w:val="007A5985"/>
    <w:rsid w:val="007B105B"/>
    <w:rsid w:val="007B36F6"/>
    <w:rsid w:val="007B485E"/>
    <w:rsid w:val="007C4952"/>
    <w:rsid w:val="007D0D04"/>
    <w:rsid w:val="007D12FD"/>
    <w:rsid w:val="007D1A1E"/>
    <w:rsid w:val="007D42C8"/>
    <w:rsid w:val="007D73D6"/>
    <w:rsid w:val="007E24D7"/>
    <w:rsid w:val="007E3B5D"/>
    <w:rsid w:val="007E67DC"/>
    <w:rsid w:val="007F0310"/>
    <w:rsid w:val="007F11E5"/>
    <w:rsid w:val="007F1980"/>
    <w:rsid w:val="007F1D92"/>
    <w:rsid w:val="007F2587"/>
    <w:rsid w:val="007F415B"/>
    <w:rsid w:val="00802A55"/>
    <w:rsid w:val="00802B98"/>
    <w:rsid w:val="008048E4"/>
    <w:rsid w:val="00807DFC"/>
    <w:rsid w:val="00812B8E"/>
    <w:rsid w:val="008146A2"/>
    <w:rsid w:val="00824EE4"/>
    <w:rsid w:val="008303E1"/>
    <w:rsid w:val="008322BA"/>
    <w:rsid w:val="008331DF"/>
    <w:rsid w:val="0083412B"/>
    <w:rsid w:val="00836527"/>
    <w:rsid w:val="008402EF"/>
    <w:rsid w:val="00841085"/>
    <w:rsid w:val="0084237B"/>
    <w:rsid w:val="008428E7"/>
    <w:rsid w:val="00846620"/>
    <w:rsid w:val="00846E06"/>
    <w:rsid w:val="00847C0D"/>
    <w:rsid w:val="008525AC"/>
    <w:rsid w:val="00852EF2"/>
    <w:rsid w:val="00853812"/>
    <w:rsid w:val="00854046"/>
    <w:rsid w:val="008549CD"/>
    <w:rsid w:val="0085521E"/>
    <w:rsid w:val="00856C9E"/>
    <w:rsid w:val="00860979"/>
    <w:rsid w:val="00864B04"/>
    <w:rsid w:val="00866B48"/>
    <w:rsid w:val="00870417"/>
    <w:rsid w:val="00870742"/>
    <w:rsid w:val="00870867"/>
    <w:rsid w:val="00870B94"/>
    <w:rsid w:val="008724F5"/>
    <w:rsid w:val="00873473"/>
    <w:rsid w:val="008755F2"/>
    <w:rsid w:val="00877FFC"/>
    <w:rsid w:val="008836E8"/>
    <w:rsid w:val="008859C2"/>
    <w:rsid w:val="008871E5"/>
    <w:rsid w:val="0088789B"/>
    <w:rsid w:val="00890005"/>
    <w:rsid w:val="00890D4B"/>
    <w:rsid w:val="00891371"/>
    <w:rsid w:val="00895F28"/>
    <w:rsid w:val="00896D85"/>
    <w:rsid w:val="008A0A8D"/>
    <w:rsid w:val="008A2F12"/>
    <w:rsid w:val="008A34C5"/>
    <w:rsid w:val="008A46CC"/>
    <w:rsid w:val="008A70DD"/>
    <w:rsid w:val="008A72C9"/>
    <w:rsid w:val="008A7B94"/>
    <w:rsid w:val="008B2EF9"/>
    <w:rsid w:val="008B4960"/>
    <w:rsid w:val="008C01AC"/>
    <w:rsid w:val="008C1C64"/>
    <w:rsid w:val="008C1DED"/>
    <w:rsid w:val="008C5607"/>
    <w:rsid w:val="008C6E9B"/>
    <w:rsid w:val="008D0100"/>
    <w:rsid w:val="008D36E3"/>
    <w:rsid w:val="008D4B64"/>
    <w:rsid w:val="008E075F"/>
    <w:rsid w:val="008E1CD5"/>
    <w:rsid w:val="008E33DD"/>
    <w:rsid w:val="008E3ACF"/>
    <w:rsid w:val="008E4A33"/>
    <w:rsid w:val="008F0F7C"/>
    <w:rsid w:val="0090036E"/>
    <w:rsid w:val="00901CF3"/>
    <w:rsid w:val="00905CBB"/>
    <w:rsid w:val="00907016"/>
    <w:rsid w:val="00907337"/>
    <w:rsid w:val="0090746F"/>
    <w:rsid w:val="00910805"/>
    <w:rsid w:val="00911E47"/>
    <w:rsid w:val="00912802"/>
    <w:rsid w:val="00917414"/>
    <w:rsid w:val="00917FC7"/>
    <w:rsid w:val="00922A96"/>
    <w:rsid w:val="00923C50"/>
    <w:rsid w:val="00923FE3"/>
    <w:rsid w:val="009241D2"/>
    <w:rsid w:val="00924A02"/>
    <w:rsid w:val="0092551B"/>
    <w:rsid w:val="00931D6C"/>
    <w:rsid w:val="0093415F"/>
    <w:rsid w:val="00934AF0"/>
    <w:rsid w:val="009363F8"/>
    <w:rsid w:val="0094215A"/>
    <w:rsid w:val="009470A5"/>
    <w:rsid w:val="00951039"/>
    <w:rsid w:val="00951DAA"/>
    <w:rsid w:val="009539B2"/>
    <w:rsid w:val="00954009"/>
    <w:rsid w:val="00954A80"/>
    <w:rsid w:val="009579A6"/>
    <w:rsid w:val="00967885"/>
    <w:rsid w:val="00967AD3"/>
    <w:rsid w:val="00971231"/>
    <w:rsid w:val="00972160"/>
    <w:rsid w:val="00974E8C"/>
    <w:rsid w:val="009763CF"/>
    <w:rsid w:val="00977648"/>
    <w:rsid w:val="009815AD"/>
    <w:rsid w:val="00984480"/>
    <w:rsid w:val="00992207"/>
    <w:rsid w:val="009935FE"/>
    <w:rsid w:val="00995695"/>
    <w:rsid w:val="00995AC3"/>
    <w:rsid w:val="00996833"/>
    <w:rsid w:val="00996B99"/>
    <w:rsid w:val="009A41A0"/>
    <w:rsid w:val="009A7E6C"/>
    <w:rsid w:val="009B2452"/>
    <w:rsid w:val="009B268A"/>
    <w:rsid w:val="009B38EF"/>
    <w:rsid w:val="009B49CB"/>
    <w:rsid w:val="009B59FD"/>
    <w:rsid w:val="009C05D6"/>
    <w:rsid w:val="009C1FCA"/>
    <w:rsid w:val="009C33A3"/>
    <w:rsid w:val="009C3C1E"/>
    <w:rsid w:val="009C4485"/>
    <w:rsid w:val="009C4C32"/>
    <w:rsid w:val="009C6A37"/>
    <w:rsid w:val="009C7EA9"/>
    <w:rsid w:val="009D153B"/>
    <w:rsid w:val="009D16CE"/>
    <w:rsid w:val="009D1DB0"/>
    <w:rsid w:val="009D1F13"/>
    <w:rsid w:val="009D503B"/>
    <w:rsid w:val="009D79AE"/>
    <w:rsid w:val="009E00F6"/>
    <w:rsid w:val="009E3E2E"/>
    <w:rsid w:val="009E78AF"/>
    <w:rsid w:val="00A00C07"/>
    <w:rsid w:val="00A03154"/>
    <w:rsid w:val="00A03680"/>
    <w:rsid w:val="00A0472D"/>
    <w:rsid w:val="00A13C13"/>
    <w:rsid w:val="00A14449"/>
    <w:rsid w:val="00A20481"/>
    <w:rsid w:val="00A2193F"/>
    <w:rsid w:val="00A225B6"/>
    <w:rsid w:val="00A245F9"/>
    <w:rsid w:val="00A2579A"/>
    <w:rsid w:val="00A259F1"/>
    <w:rsid w:val="00A26F1F"/>
    <w:rsid w:val="00A27B62"/>
    <w:rsid w:val="00A305B1"/>
    <w:rsid w:val="00A33315"/>
    <w:rsid w:val="00A42AF6"/>
    <w:rsid w:val="00A4601C"/>
    <w:rsid w:val="00A479F4"/>
    <w:rsid w:val="00A47A4E"/>
    <w:rsid w:val="00A5166B"/>
    <w:rsid w:val="00A51D32"/>
    <w:rsid w:val="00A529A1"/>
    <w:rsid w:val="00A5321A"/>
    <w:rsid w:val="00A5351C"/>
    <w:rsid w:val="00A60317"/>
    <w:rsid w:val="00A61B0E"/>
    <w:rsid w:val="00A676C0"/>
    <w:rsid w:val="00A7023E"/>
    <w:rsid w:val="00A75BA9"/>
    <w:rsid w:val="00A7608E"/>
    <w:rsid w:val="00A76920"/>
    <w:rsid w:val="00A81A81"/>
    <w:rsid w:val="00A84171"/>
    <w:rsid w:val="00A91513"/>
    <w:rsid w:val="00A925F0"/>
    <w:rsid w:val="00A95171"/>
    <w:rsid w:val="00A95983"/>
    <w:rsid w:val="00A96047"/>
    <w:rsid w:val="00AA16CD"/>
    <w:rsid w:val="00AA29AB"/>
    <w:rsid w:val="00AA3518"/>
    <w:rsid w:val="00AA3B9B"/>
    <w:rsid w:val="00AA6442"/>
    <w:rsid w:val="00AA69F1"/>
    <w:rsid w:val="00AA708F"/>
    <w:rsid w:val="00AA7546"/>
    <w:rsid w:val="00AA770F"/>
    <w:rsid w:val="00AB074C"/>
    <w:rsid w:val="00AB1EEC"/>
    <w:rsid w:val="00AB2E45"/>
    <w:rsid w:val="00AB3164"/>
    <w:rsid w:val="00AB553A"/>
    <w:rsid w:val="00AB6240"/>
    <w:rsid w:val="00AC04B3"/>
    <w:rsid w:val="00AC0F6C"/>
    <w:rsid w:val="00AC36F8"/>
    <w:rsid w:val="00AC3AD4"/>
    <w:rsid w:val="00AC49A2"/>
    <w:rsid w:val="00AC4B90"/>
    <w:rsid w:val="00AC54E5"/>
    <w:rsid w:val="00AC6279"/>
    <w:rsid w:val="00AD0F5F"/>
    <w:rsid w:val="00AD13ED"/>
    <w:rsid w:val="00AD3EEB"/>
    <w:rsid w:val="00AD438D"/>
    <w:rsid w:val="00AE0E03"/>
    <w:rsid w:val="00AE0EFF"/>
    <w:rsid w:val="00AE13CA"/>
    <w:rsid w:val="00AE66DF"/>
    <w:rsid w:val="00AF1567"/>
    <w:rsid w:val="00AF1718"/>
    <w:rsid w:val="00AF2EBB"/>
    <w:rsid w:val="00AF30EE"/>
    <w:rsid w:val="00AF3435"/>
    <w:rsid w:val="00AF3882"/>
    <w:rsid w:val="00AF69D6"/>
    <w:rsid w:val="00AF6D17"/>
    <w:rsid w:val="00AF70F9"/>
    <w:rsid w:val="00AF7176"/>
    <w:rsid w:val="00B03D61"/>
    <w:rsid w:val="00B05558"/>
    <w:rsid w:val="00B06FB3"/>
    <w:rsid w:val="00B201A6"/>
    <w:rsid w:val="00B216F1"/>
    <w:rsid w:val="00B23671"/>
    <w:rsid w:val="00B25793"/>
    <w:rsid w:val="00B259CD"/>
    <w:rsid w:val="00B278AF"/>
    <w:rsid w:val="00B27F58"/>
    <w:rsid w:val="00B30266"/>
    <w:rsid w:val="00B3070D"/>
    <w:rsid w:val="00B3315F"/>
    <w:rsid w:val="00B33535"/>
    <w:rsid w:val="00B3681B"/>
    <w:rsid w:val="00B36953"/>
    <w:rsid w:val="00B37542"/>
    <w:rsid w:val="00B41411"/>
    <w:rsid w:val="00B41C53"/>
    <w:rsid w:val="00B431E7"/>
    <w:rsid w:val="00B43912"/>
    <w:rsid w:val="00B43AEA"/>
    <w:rsid w:val="00B4403F"/>
    <w:rsid w:val="00B44384"/>
    <w:rsid w:val="00B4488A"/>
    <w:rsid w:val="00B517B5"/>
    <w:rsid w:val="00B52DBB"/>
    <w:rsid w:val="00B5440F"/>
    <w:rsid w:val="00B54D9D"/>
    <w:rsid w:val="00B62DA6"/>
    <w:rsid w:val="00B64D67"/>
    <w:rsid w:val="00B65F44"/>
    <w:rsid w:val="00B66912"/>
    <w:rsid w:val="00B720AF"/>
    <w:rsid w:val="00B7275D"/>
    <w:rsid w:val="00B72ED2"/>
    <w:rsid w:val="00B73834"/>
    <w:rsid w:val="00B7444B"/>
    <w:rsid w:val="00B744CD"/>
    <w:rsid w:val="00B763D2"/>
    <w:rsid w:val="00B80594"/>
    <w:rsid w:val="00B82F1D"/>
    <w:rsid w:val="00B833DD"/>
    <w:rsid w:val="00B84398"/>
    <w:rsid w:val="00B85B22"/>
    <w:rsid w:val="00B85D5B"/>
    <w:rsid w:val="00B86E8C"/>
    <w:rsid w:val="00B879BE"/>
    <w:rsid w:val="00B90ECC"/>
    <w:rsid w:val="00B92C34"/>
    <w:rsid w:val="00B9507A"/>
    <w:rsid w:val="00B961E9"/>
    <w:rsid w:val="00B966D1"/>
    <w:rsid w:val="00B97720"/>
    <w:rsid w:val="00B97D9F"/>
    <w:rsid w:val="00BA08F1"/>
    <w:rsid w:val="00BA18E0"/>
    <w:rsid w:val="00BA2256"/>
    <w:rsid w:val="00BA29C6"/>
    <w:rsid w:val="00BA389D"/>
    <w:rsid w:val="00BA5130"/>
    <w:rsid w:val="00BA6DFA"/>
    <w:rsid w:val="00BB4453"/>
    <w:rsid w:val="00BB49EC"/>
    <w:rsid w:val="00BC24BC"/>
    <w:rsid w:val="00BC3981"/>
    <w:rsid w:val="00BC410A"/>
    <w:rsid w:val="00BC5CAF"/>
    <w:rsid w:val="00BC6C27"/>
    <w:rsid w:val="00BD1E9F"/>
    <w:rsid w:val="00BD2188"/>
    <w:rsid w:val="00BD37B2"/>
    <w:rsid w:val="00BD3C5C"/>
    <w:rsid w:val="00BD41BF"/>
    <w:rsid w:val="00BD7717"/>
    <w:rsid w:val="00BE1FC4"/>
    <w:rsid w:val="00BE7138"/>
    <w:rsid w:val="00BE763B"/>
    <w:rsid w:val="00BF000E"/>
    <w:rsid w:val="00BF0ACE"/>
    <w:rsid w:val="00BF30CF"/>
    <w:rsid w:val="00BF5A4E"/>
    <w:rsid w:val="00BF5CCF"/>
    <w:rsid w:val="00C00B57"/>
    <w:rsid w:val="00C01862"/>
    <w:rsid w:val="00C0241B"/>
    <w:rsid w:val="00C02DB4"/>
    <w:rsid w:val="00C051A8"/>
    <w:rsid w:val="00C127EE"/>
    <w:rsid w:val="00C1415D"/>
    <w:rsid w:val="00C14598"/>
    <w:rsid w:val="00C1535C"/>
    <w:rsid w:val="00C155C8"/>
    <w:rsid w:val="00C17AA6"/>
    <w:rsid w:val="00C21550"/>
    <w:rsid w:val="00C21FA4"/>
    <w:rsid w:val="00C22595"/>
    <w:rsid w:val="00C25392"/>
    <w:rsid w:val="00C256E6"/>
    <w:rsid w:val="00C305E1"/>
    <w:rsid w:val="00C30BC3"/>
    <w:rsid w:val="00C3164D"/>
    <w:rsid w:val="00C32453"/>
    <w:rsid w:val="00C33139"/>
    <w:rsid w:val="00C34A34"/>
    <w:rsid w:val="00C3547F"/>
    <w:rsid w:val="00C35A2E"/>
    <w:rsid w:val="00C37E13"/>
    <w:rsid w:val="00C41C68"/>
    <w:rsid w:val="00C44E3A"/>
    <w:rsid w:val="00C4597B"/>
    <w:rsid w:val="00C46797"/>
    <w:rsid w:val="00C5099C"/>
    <w:rsid w:val="00C534AB"/>
    <w:rsid w:val="00C60027"/>
    <w:rsid w:val="00C63208"/>
    <w:rsid w:val="00C64370"/>
    <w:rsid w:val="00C65D4F"/>
    <w:rsid w:val="00C6746C"/>
    <w:rsid w:val="00C70970"/>
    <w:rsid w:val="00C709CF"/>
    <w:rsid w:val="00C71D8A"/>
    <w:rsid w:val="00C73793"/>
    <w:rsid w:val="00C7755B"/>
    <w:rsid w:val="00C84C8E"/>
    <w:rsid w:val="00C86839"/>
    <w:rsid w:val="00C874BF"/>
    <w:rsid w:val="00C8787F"/>
    <w:rsid w:val="00C92159"/>
    <w:rsid w:val="00C926EC"/>
    <w:rsid w:val="00C93BD0"/>
    <w:rsid w:val="00C95864"/>
    <w:rsid w:val="00C961C0"/>
    <w:rsid w:val="00C9681A"/>
    <w:rsid w:val="00CA0191"/>
    <w:rsid w:val="00CA2291"/>
    <w:rsid w:val="00CB3A2F"/>
    <w:rsid w:val="00CB7350"/>
    <w:rsid w:val="00CC09B4"/>
    <w:rsid w:val="00CC163C"/>
    <w:rsid w:val="00CC18E9"/>
    <w:rsid w:val="00CC1A19"/>
    <w:rsid w:val="00CC3390"/>
    <w:rsid w:val="00CC3889"/>
    <w:rsid w:val="00CC39A4"/>
    <w:rsid w:val="00CC6960"/>
    <w:rsid w:val="00CC6AAD"/>
    <w:rsid w:val="00CC76F6"/>
    <w:rsid w:val="00CC7AD6"/>
    <w:rsid w:val="00CC7F3C"/>
    <w:rsid w:val="00CD1C08"/>
    <w:rsid w:val="00CD38C1"/>
    <w:rsid w:val="00CE0BF7"/>
    <w:rsid w:val="00CE2280"/>
    <w:rsid w:val="00CE2CA5"/>
    <w:rsid w:val="00CE48B2"/>
    <w:rsid w:val="00CE4A23"/>
    <w:rsid w:val="00CE4B13"/>
    <w:rsid w:val="00CE5E4D"/>
    <w:rsid w:val="00CE6122"/>
    <w:rsid w:val="00CE78DF"/>
    <w:rsid w:val="00CE7E1A"/>
    <w:rsid w:val="00CF22DC"/>
    <w:rsid w:val="00CF322A"/>
    <w:rsid w:val="00CF3475"/>
    <w:rsid w:val="00CF494D"/>
    <w:rsid w:val="00D00A1E"/>
    <w:rsid w:val="00D00EE1"/>
    <w:rsid w:val="00D013B4"/>
    <w:rsid w:val="00D016F4"/>
    <w:rsid w:val="00D06E9E"/>
    <w:rsid w:val="00D074AF"/>
    <w:rsid w:val="00D12C51"/>
    <w:rsid w:val="00D2032F"/>
    <w:rsid w:val="00D20FD3"/>
    <w:rsid w:val="00D21AB3"/>
    <w:rsid w:val="00D23C45"/>
    <w:rsid w:val="00D2523B"/>
    <w:rsid w:val="00D25B40"/>
    <w:rsid w:val="00D27248"/>
    <w:rsid w:val="00D324FA"/>
    <w:rsid w:val="00D34CD1"/>
    <w:rsid w:val="00D34FA1"/>
    <w:rsid w:val="00D352AA"/>
    <w:rsid w:val="00D35C88"/>
    <w:rsid w:val="00D4024A"/>
    <w:rsid w:val="00D40A90"/>
    <w:rsid w:val="00D43080"/>
    <w:rsid w:val="00D43E3B"/>
    <w:rsid w:val="00D44331"/>
    <w:rsid w:val="00D45364"/>
    <w:rsid w:val="00D47CA5"/>
    <w:rsid w:val="00D47E13"/>
    <w:rsid w:val="00D52140"/>
    <w:rsid w:val="00D527B5"/>
    <w:rsid w:val="00D53023"/>
    <w:rsid w:val="00D53D29"/>
    <w:rsid w:val="00D5527B"/>
    <w:rsid w:val="00D55B85"/>
    <w:rsid w:val="00D57634"/>
    <w:rsid w:val="00D57F4B"/>
    <w:rsid w:val="00D60C33"/>
    <w:rsid w:val="00D62E56"/>
    <w:rsid w:val="00D67087"/>
    <w:rsid w:val="00D7009B"/>
    <w:rsid w:val="00D704BF"/>
    <w:rsid w:val="00D7424B"/>
    <w:rsid w:val="00D74832"/>
    <w:rsid w:val="00D776C1"/>
    <w:rsid w:val="00D812E8"/>
    <w:rsid w:val="00D831C8"/>
    <w:rsid w:val="00D83B72"/>
    <w:rsid w:val="00D85B02"/>
    <w:rsid w:val="00D904C5"/>
    <w:rsid w:val="00D9098E"/>
    <w:rsid w:val="00D9218C"/>
    <w:rsid w:val="00D92A7C"/>
    <w:rsid w:val="00D93A7B"/>
    <w:rsid w:val="00D94307"/>
    <w:rsid w:val="00D97A33"/>
    <w:rsid w:val="00DA09B4"/>
    <w:rsid w:val="00DA27F1"/>
    <w:rsid w:val="00DA2D16"/>
    <w:rsid w:val="00DA2DCD"/>
    <w:rsid w:val="00DA6D29"/>
    <w:rsid w:val="00DA7E30"/>
    <w:rsid w:val="00DB45CC"/>
    <w:rsid w:val="00DB48E2"/>
    <w:rsid w:val="00DB4932"/>
    <w:rsid w:val="00DB5E6E"/>
    <w:rsid w:val="00DB650C"/>
    <w:rsid w:val="00DB6645"/>
    <w:rsid w:val="00DB7214"/>
    <w:rsid w:val="00DB788B"/>
    <w:rsid w:val="00DC3581"/>
    <w:rsid w:val="00DD052D"/>
    <w:rsid w:val="00DD190C"/>
    <w:rsid w:val="00DD29AE"/>
    <w:rsid w:val="00DD4C2D"/>
    <w:rsid w:val="00DD5AC4"/>
    <w:rsid w:val="00DE182F"/>
    <w:rsid w:val="00DE1CCA"/>
    <w:rsid w:val="00DE26DB"/>
    <w:rsid w:val="00DE26E2"/>
    <w:rsid w:val="00DE4A00"/>
    <w:rsid w:val="00DF1BB9"/>
    <w:rsid w:val="00DF217D"/>
    <w:rsid w:val="00DF79E2"/>
    <w:rsid w:val="00DF7D84"/>
    <w:rsid w:val="00E038DB"/>
    <w:rsid w:val="00E128BB"/>
    <w:rsid w:val="00E14844"/>
    <w:rsid w:val="00E17C51"/>
    <w:rsid w:val="00E23BBF"/>
    <w:rsid w:val="00E23D6B"/>
    <w:rsid w:val="00E27BF7"/>
    <w:rsid w:val="00E3003C"/>
    <w:rsid w:val="00E302FA"/>
    <w:rsid w:val="00E33497"/>
    <w:rsid w:val="00E34079"/>
    <w:rsid w:val="00E356CD"/>
    <w:rsid w:val="00E44AF3"/>
    <w:rsid w:val="00E45877"/>
    <w:rsid w:val="00E46145"/>
    <w:rsid w:val="00E47123"/>
    <w:rsid w:val="00E4728E"/>
    <w:rsid w:val="00E51FEF"/>
    <w:rsid w:val="00E53802"/>
    <w:rsid w:val="00E5542F"/>
    <w:rsid w:val="00E55B79"/>
    <w:rsid w:val="00E60043"/>
    <w:rsid w:val="00E60EAE"/>
    <w:rsid w:val="00E71860"/>
    <w:rsid w:val="00E72F7B"/>
    <w:rsid w:val="00E742C0"/>
    <w:rsid w:val="00E74337"/>
    <w:rsid w:val="00E75D45"/>
    <w:rsid w:val="00E81F10"/>
    <w:rsid w:val="00E82188"/>
    <w:rsid w:val="00E871C4"/>
    <w:rsid w:val="00E90D49"/>
    <w:rsid w:val="00E90ECA"/>
    <w:rsid w:val="00E910F6"/>
    <w:rsid w:val="00E918C5"/>
    <w:rsid w:val="00E9196D"/>
    <w:rsid w:val="00E9224C"/>
    <w:rsid w:val="00E925AA"/>
    <w:rsid w:val="00E92DED"/>
    <w:rsid w:val="00EA0C97"/>
    <w:rsid w:val="00EA2C5E"/>
    <w:rsid w:val="00EA3596"/>
    <w:rsid w:val="00EA3AAD"/>
    <w:rsid w:val="00EA460F"/>
    <w:rsid w:val="00EC2505"/>
    <w:rsid w:val="00EC271C"/>
    <w:rsid w:val="00EC3C43"/>
    <w:rsid w:val="00EC4067"/>
    <w:rsid w:val="00EC5BB6"/>
    <w:rsid w:val="00ED04B4"/>
    <w:rsid w:val="00ED0737"/>
    <w:rsid w:val="00ED0AEA"/>
    <w:rsid w:val="00ED4E0B"/>
    <w:rsid w:val="00ED5AC5"/>
    <w:rsid w:val="00EE06AD"/>
    <w:rsid w:val="00EE475B"/>
    <w:rsid w:val="00EE7621"/>
    <w:rsid w:val="00EF206E"/>
    <w:rsid w:val="00EF5EA3"/>
    <w:rsid w:val="00EF6A56"/>
    <w:rsid w:val="00EF7E7E"/>
    <w:rsid w:val="00F00BE4"/>
    <w:rsid w:val="00F074C5"/>
    <w:rsid w:val="00F07FCA"/>
    <w:rsid w:val="00F10A73"/>
    <w:rsid w:val="00F13BC2"/>
    <w:rsid w:val="00F15737"/>
    <w:rsid w:val="00F17B28"/>
    <w:rsid w:val="00F213CF"/>
    <w:rsid w:val="00F226E9"/>
    <w:rsid w:val="00F2561A"/>
    <w:rsid w:val="00F25BDA"/>
    <w:rsid w:val="00F31B96"/>
    <w:rsid w:val="00F33776"/>
    <w:rsid w:val="00F3381C"/>
    <w:rsid w:val="00F34A84"/>
    <w:rsid w:val="00F37194"/>
    <w:rsid w:val="00F40D6C"/>
    <w:rsid w:val="00F42C6B"/>
    <w:rsid w:val="00F467B1"/>
    <w:rsid w:val="00F51D17"/>
    <w:rsid w:val="00F535D2"/>
    <w:rsid w:val="00F537A5"/>
    <w:rsid w:val="00F543CD"/>
    <w:rsid w:val="00F54949"/>
    <w:rsid w:val="00F54B8D"/>
    <w:rsid w:val="00F5524E"/>
    <w:rsid w:val="00F56A6D"/>
    <w:rsid w:val="00F56C0F"/>
    <w:rsid w:val="00F56E78"/>
    <w:rsid w:val="00F571A7"/>
    <w:rsid w:val="00F576B9"/>
    <w:rsid w:val="00F602EF"/>
    <w:rsid w:val="00F60E14"/>
    <w:rsid w:val="00F61508"/>
    <w:rsid w:val="00F6262E"/>
    <w:rsid w:val="00F626C1"/>
    <w:rsid w:val="00F62EA9"/>
    <w:rsid w:val="00F64EEC"/>
    <w:rsid w:val="00F65756"/>
    <w:rsid w:val="00F665F1"/>
    <w:rsid w:val="00F6739F"/>
    <w:rsid w:val="00F67A6F"/>
    <w:rsid w:val="00F74109"/>
    <w:rsid w:val="00F74827"/>
    <w:rsid w:val="00F75264"/>
    <w:rsid w:val="00F82237"/>
    <w:rsid w:val="00F839A3"/>
    <w:rsid w:val="00F84C3B"/>
    <w:rsid w:val="00F84EDA"/>
    <w:rsid w:val="00F86275"/>
    <w:rsid w:val="00F86BAA"/>
    <w:rsid w:val="00F87F73"/>
    <w:rsid w:val="00F90697"/>
    <w:rsid w:val="00F95246"/>
    <w:rsid w:val="00F959C4"/>
    <w:rsid w:val="00F96DAC"/>
    <w:rsid w:val="00FA4B1D"/>
    <w:rsid w:val="00FA7DC2"/>
    <w:rsid w:val="00FB06E0"/>
    <w:rsid w:val="00FB1DEC"/>
    <w:rsid w:val="00FB4C2A"/>
    <w:rsid w:val="00FB5052"/>
    <w:rsid w:val="00FB578F"/>
    <w:rsid w:val="00FB5CB8"/>
    <w:rsid w:val="00FC004C"/>
    <w:rsid w:val="00FC10D8"/>
    <w:rsid w:val="00FC5BA2"/>
    <w:rsid w:val="00FC6868"/>
    <w:rsid w:val="00FD1C54"/>
    <w:rsid w:val="00FE166E"/>
    <w:rsid w:val="00FE16B5"/>
    <w:rsid w:val="00FE2948"/>
    <w:rsid w:val="00FE330F"/>
    <w:rsid w:val="00FE3DB7"/>
    <w:rsid w:val="00FE3FAD"/>
    <w:rsid w:val="00FE51E8"/>
    <w:rsid w:val="00FE607D"/>
    <w:rsid w:val="00FE6D00"/>
    <w:rsid w:val="00FE7718"/>
    <w:rsid w:val="00FE7D27"/>
    <w:rsid w:val="00FF553C"/>
    <w:rsid w:val="00FF563F"/>
    <w:rsid w:val="00FF7886"/>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CDFBF"/>
  <w15:docId w15:val="{1D6E49F2-D421-409E-8A28-44B7667F1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6C2028"/>
    <w:pPr>
      <w:spacing w:before="0" w:after="120"/>
    </w:pPr>
    <w:rPr>
      <w:rFonts w:ascii="Times New Roman" w:hAnsi="Times New Roman" w:cstheme="minorBidi"/>
    </w:rPr>
  </w:style>
  <w:style w:type="character" w:customStyle="1" w:styleId="BodyTextChar">
    <w:name w:val="Body Text Char"/>
    <w:basedOn w:val="DefaultParagraphFont"/>
    <w:link w:val="BodyText"/>
    <w:rsid w:val="006C2028"/>
    <w:rPr>
      <w:rFonts w:ascii="Times New Roman" w:hAnsi="Times New Roman"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imes New Roman" w:hAnsi="Times New Roman"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1989050232">
      <w:bodyDiv w:val="1"/>
      <w:marLeft w:val="0"/>
      <w:marRight w:val="0"/>
      <w:marTop w:val="0"/>
      <w:marBottom w:val="0"/>
      <w:divBdr>
        <w:top w:val="none" w:sz="0" w:space="0" w:color="auto"/>
        <w:left w:val="none" w:sz="0" w:space="0" w:color="auto"/>
        <w:bottom w:val="none" w:sz="0" w:space="0" w:color="auto"/>
        <w:right w:val="none" w:sz="0" w:space="0" w:color="auto"/>
      </w:divBdr>
    </w:div>
    <w:div w:id="2006008762">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3A11B-0042-473D-9258-CD7C26F2F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1766</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Heidi</dc:creator>
  <cp:keywords/>
  <dc:description/>
  <cp:lastModifiedBy>Bartz, Kevin</cp:lastModifiedBy>
  <cp:revision>6</cp:revision>
  <dcterms:created xsi:type="dcterms:W3CDTF">2021-04-26T15:29:00Z</dcterms:created>
  <dcterms:modified xsi:type="dcterms:W3CDTF">2021-04-26T19:16:00Z</dcterms:modified>
</cp:coreProperties>
</file>